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48E2" w:rsidRDefault="00C04C74">
      <w:pPr>
        <w:pBdr>
          <w:top w:val="nil"/>
          <w:left w:val="nil"/>
          <w:bottom w:val="nil"/>
          <w:right w:val="nil"/>
          <w:between w:val="nil"/>
        </w:pBdr>
        <w:spacing w:after="6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4E48E2" w:rsidRDefault="00C04C74">
      <w:pPr>
        <w:pBdr>
          <w:top w:val="nil"/>
          <w:left w:val="nil"/>
          <w:bottom w:val="nil"/>
          <w:right w:val="nil"/>
          <w:between w:val="nil"/>
        </w:pBdr>
        <w:spacing w:after="6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Departamento:</w:t>
      </w:r>
      <w:bookmarkStart w:id="0" w:name="bookmark=id.gjdgxs" w:colFirst="0" w:colLast="0"/>
      <w:bookmarkEnd w:id="0"/>
      <w:r>
        <w:rPr>
          <w:rFonts w:ascii="Times New Roman" w:eastAsia="Times New Roman" w:hAnsi="Times New Roman" w:cs="Times New Roman"/>
          <w:color w:val="808080"/>
          <w:sz w:val="24"/>
          <w:szCs w:val="24"/>
        </w:rPr>
        <w:t xml:space="preserve"> </w:t>
      </w:r>
      <w:r>
        <w:rPr>
          <w:rFonts w:ascii="Times New Roman" w:eastAsia="Times New Roman" w:hAnsi="Times New Roman" w:cs="Times New Roman"/>
          <w:color w:val="000000"/>
          <w:sz w:val="24"/>
          <w:szCs w:val="24"/>
        </w:rPr>
        <w:t>Historia</w:t>
      </w:r>
    </w:p>
    <w:p w:rsidR="004E48E2" w:rsidRDefault="004E48E2">
      <w:pPr>
        <w:spacing w:after="0" w:line="240" w:lineRule="auto"/>
        <w:ind w:hanging="2"/>
        <w:rPr>
          <w:rFonts w:ascii="Times New Roman" w:eastAsia="Times New Roman" w:hAnsi="Times New Roman" w:cs="Times New Roman"/>
        </w:rPr>
      </w:pPr>
    </w:p>
    <w:p w:rsidR="004E48E2" w:rsidRDefault="004E48E2">
      <w:pPr>
        <w:spacing w:after="0" w:line="240" w:lineRule="auto"/>
        <w:ind w:hanging="2"/>
        <w:rPr>
          <w:rFonts w:ascii="Times New Roman" w:eastAsia="Times New Roman" w:hAnsi="Times New Roman" w:cs="Times New Roman"/>
        </w:rPr>
      </w:pPr>
    </w:p>
    <w:p w:rsidR="004E48E2" w:rsidRDefault="004E48E2">
      <w:pPr>
        <w:spacing w:after="0" w:line="240" w:lineRule="auto"/>
        <w:ind w:hanging="2"/>
        <w:rPr>
          <w:rFonts w:ascii="Times New Roman" w:eastAsia="Times New Roman" w:hAnsi="Times New Roman" w:cs="Times New Roman"/>
        </w:rPr>
      </w:pPr>
    </w:p>
    <w:p w:rsidR="004E48E2" w:rsidRDefault="00C04C74">
      <w:pPr>
        <w:spacing w:after="0" w:line="360" w:lineRule="auto"/>
        <w:ind w:hanging="2"/>
        <w:rPr>
          <w:rFonts w:ascii="Times New Roman" w:eastAsia="Times New Roman" w:hAnsi="Times New Roman" w:cs="Times New Roman"/>
          <w:sz w:val="24"/>
          <w:szCs w:val="24"/>
        </w:rPr>
      </w:pPr>
      <w:bookmarkStart w:id="1" w:name="bookmark=id.30j0zll" w:colFirst="0" w:colLast="0"/>
      <w:bookmarkEnd w:id="1"/>
      <w:r>
        <w:rPr>
          <w:rFonts w:ascii="Times New Roman" w:eastAsia="Times New Roman" w:hAnsi="Times New Roman" w:cs="Times New Roman"/>
          <w:b/>
          <w:bCs/>
          <w:sz w:val="24"/>
          <w:szCs w:val="24"/>
        </w:rPr>
        <w:t>Carrera: Profesorado en Historia</w:t>
      </w:r>
    </w:p>
    <w:p w:rsidR="004E48E2" w:rsidRDefault="00C04C74">
      <w:pPr>
        <w:spacing w:after="0" w:line="360" w:lineRule="auto"/>
        <w:ind w:hanging="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t xml:space="preserve">                Licenciatura en Historia</w:t>
      </w:r>
    </w:p>
    <w:p w:rsidR="004E48E2" w:rsidRDefault="00C04C74">
      <w:pPr>
        <w:tabs>
          <w:tab w:val="left" w:pos="2179"/>
        </w:tabs>
        <w:spacing w:after="0" w:line="360" w:lineRule="auto"/>
        <w:ind w:hanging="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Asignatura:</w:t>
      </w:r>
      <w:r>
        <w:rPr>
          <w:rFonts w:ascii="Times New Roman" w:eastAsia="Times New Roman" w:hAnsi="Times New Roman" w:cs="Times New Roman"/>
          <w:sz w:val="24"/>
          <w:szCs w:val="24"/>
        </w:rPr>
        <w:t xml:space="preserve"> Introducción a la Historia y a las Ciencias Sociales   </w:t>
      </w:r>
      <w:r>
        <w:rPr>
          <w:rFonts w:ascii="Times New Roman" w:eastAsia="Times New Roman" w:hAnsi="Times New Roman" w:cs="Times New Roman"/>
          <w:b/>
          <w:bCs/>
          <w:sz w:val="24"/>
          <w:szCs w:val="24"/>
        </w:rPr>
        <w:t>Código/s:</w:t>
      </w:r>
      <w:r>
        <w:rPr>
          <w:rFonts w:ascii="Times New Roman" w:eastAsia="Times New Roman" w:hAnsi="Times New Roman" w:cs="Times New Roman"/>
          <w:sz w:val="24"/>
          <w:szCs w:val="24"/>
        </w:rPr>
        <w:t xml:space="preserve"> 6680</w:t>
      </w:r>
    </w:p>
    <w:p w:rsidR="004E48E2" w:rsidRDefault="00C04C74">
      <w:pPr>
        <w:tabs>
          <w:tab w:val="left" w:pos="2179"/>
        </w:tabs>
        <w:spacing w:after="0" w:line="360" w:lineRule="auto"/>
        <w:ind w:hanging="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Curso:</w:t>
      </w:r>
      <w:r>
        <w:rPr>
          <w:rFonts w:ascii="Times New Roman" w:eastAsia="Times New Roman" w:hAnsi="Times New Roman" w:cs="Times New Roman"/>
          <w:sz w:val="24"/>
          <w:szCs w:val="24"/>
        </w:rPr>
        <w:t xml:space="preserve"> Primer Año</w:t>
      </w:r>
    </w:p>
    <w:p w:rsidR="004E48E2" w:rsidRDefault="00C04C74">
      <w:pPr>
        <w:tabs>
          <w:tab w:val="left" w:pos="2179"/>
        </w:tabs>
        <w:spacing w:after="0" w:line="360" w:lineRule="auto"/>
        <w:ind w:hanging="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Comisión:</w:t>
      </w:r>
      <w:bookmarkStart w:id="2" w:name="bookmark=id.1fob9te" w:colFirst="0" w:colLast="0"/>
      <w:bookmarkEnd w:id="2"/>
      <w:r>
        <w:rPr>
          <w:rFonts w:ascii="Times New Roman" w:eastAsia="Times New Roman" w:hAnsi="Times New Roman" w:cs="Times New Roman"/>
          <w:sz w:val="24"/>
          <w:szCs w:val="24"/>
        </w:rPr>
        <w:t xml:space="preserve"> A</w:t>
      </w:r>
    </w:p>
    <w:p w:rsidR="004E48E2" w:rsidRDefault="00C04C74">
      <w:pPr>
        <w:spacing w:after="0" w:line="360" w:lineRule="auto"/>
        <w:ind w:hanging="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Régimen de la asignatura:</w:t>
      </w:r>
      <w:bookmarkStart w:id="3" w:name="bookmark=id.3znysh7" w:colFirst="0" w:colLast="0"/>
      <w:bookmarkEnd w:id="3"/>
      <w:r>
        <w:rPr>
          <w:rFonts w:ascii="Times New Roman" w:eastAsia="Times New Roman" w:hAnsi="Times New Roman" w:cs="Times New Roman"/>
          <w:sz w:val="24"/>
          <w:szCs w:val="24"/>
        </w:rPr>
        <w:t xml:space="preserve"> Cuatrimestral  (Para el profesorado)</w:t>
      </w:r>
    </w:p>
    <w:p w:rsidR="004E48E2" w:rsidRDefault="00C04C74">
      <w:pPr>
        <w:spacing w:after="0" w:line="360" w:lineRule="auto"/>
        <w:ind w:hanging="2"/>
        <w:rPr>
          <w:rFonts w:ascii="Times New Roman" w:eastAsia="Times New Roman" w:hAnsi="Times New Roman" w:cs="Times New Roman"/>
          <w:color w:val="808080"/>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Anual (Para la Licenciatura) </w:t>
      </w:r>
      <w:r>
        <w:rPr>
          <w:rFonts w:ascii="Times New Roman" w:eastAsia="Times New Roman" w:hAnsi="Times New Roman" w:cs="Times New Roman"/>
          <w:sz w:val="24"/>
          <w:szCs w:val="24"/>
        </w:rPr>
        <w:tab/>
      </w:r>
    </w:p>
    <w:p w:rsidR="004E48E2" w:rsidRDefault="00C04C74">
      <w:pPr>
        <w:spacing w:after="0" w:line="360" w:lineRule="auto"/>
        <w:ind w:hanging="2"/>
        <w:rPr>
          <w:rFonts w:ascii="Times New Roman" w:eastAsia="Times New Roman" w:hAnsi="Times New Roman" w:cs="Times New Roman"/>
          <w:color w:val="808080"/>
          <w:sz w:val="24"/>
          <w:szCs w:val="24"/>
        </w:rPr>
      </w:pPr>
      <w:r>
        <w:rPr>
          <w:rFonts w:ascii="Times New Roman" w:eastAsia="Times New Roman" w:hAnsi="Times New Roman" w:cs="Times New Roman"/>
          <w:b/>
          <w:bCs/>
          <w:sz w:val="24"/>
          <w:szCs w:val="24"/>
        </w:rPr>
        <w:t>Asignación horaria semanal:</w:t>
      </w:r>
      <w:r>
        <w:rPr>
          <w:rFonts w:ascii="Times New Roman" w:eastAsia="Times New Roman" w:hAnsi="Times New Roman" w:cs="Times New Roman"/>
          <w:sz w:val="24"/>
          <w:szCs w:val="24"/>
        </w:rPr>
        <w:t xml:space="preserve"> 6 hs</w:t>
      </w:r>
    </w:p>
    <w:p w:rsidR="004E48E2" w:rsidRDefault="00C04C74">
      <w:pPr>
        <w:spacing w:after="0" w:line="360" w:lineRule="auto"/>
        <w:ind w:hanging="2"/>
        <w:rPr>
          <w:rFonts w:ascii="Times New Roman" w:eastAsia="Times New Roman" w:hAnsi="Times New Roman" w:cs="Times New Roman"/>
          <w:color w:val="808080"/>
          <w:sz w:val="24"/>
          <w:szCs w:val="24"/>
        </w:rPr>
      </w:pPr>
      <w:r>
        <w:rPr>
          <w:rFonts w:ascii="Times New Roman" w:eastAsia="Times New Roman" w:hAnsi="Times New Roman" w:cs="Times New Roman"/>
          <w:b/>
          <w:bCs/>
          <w:sz w:val="24"/>
          <w:szCs w:val="24"/>
        </w:rPr>
        <w:t>Asignación horaria total:</w:t>
      </w:r>
      <w:r>
        <w:rPr>
          <w:rFonts w:ascii="Times New Roman" w:eastAsia="Times New Roman" w:hAnsi="Times New Roman" w:cs="Times New Roman"/>
          <w:sz w:val="24"/>
          <w:szCs w:val="24"/>
        </w:rPr>
        <w:t xml:space="preserve"> 90hs</w:t>
      </w:r>
    </w:p>
    <w:p w:rsidR="004E48E2" w:rsidRDefault="004E48E2">
      <w:pPr>
        <w:spacing w:after="0" w:line="360" w:lineRule="auto"/>
        <w:ind w:hanging="2"/>
        <w:rPr>
          <w:rFonts w:ascii="Times New Roman" w:eastAsia="Times New Roman" w:hAnsi="Times New Roman" w:cs="Times New Roman"/>
          <w:sz w:val="24"/>
          <w:szCs w:val="24"/>
        </w:rPr>
      </w:pPr>
    </w:p>
    <w:p w:rsidR="004E48E2" w:rsidRDefault="004E48E2">
      <w:pPr>
        <w:spacing w:after="0" w:line="240" w:lineRule="auto"/>
        <w:ind w:hanging="2"/>
        <w:rPr>
          <w:rFonts w:ascii="Times New Roman" w:eastAsia="Times New Roman" w:hAnsi="Times New Roman" w:cs="Times New Roman"/>
          <w:sz w:val="24"/>
          <w:szCs w:val="24"/>
        </w:rPr>
      </w:pPr>
    </w:p>
    <w:p w:rsidR="004E48E2" w:rsidRDefault="00C04C74">
      <w:pPr>
        <w:spacing w:after="0" w:line="240" w:lineRule="auto"/>
        <w:ind w:hanging="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Profesor Responsable:</w:t>
      </w:r>
      <w:r>
        <w:rPr>
          <w:rFonts w:ascii="Times New Roman" w:eastAsia="Times New Roman" w:hAnsi="Times New Roman" w:cs="Times New Roman"/>
          <w:sz w:val="24"/>
          <w:szCs w:val="24"/>
        </w:rPr>
        <w:t xml:space="preserve"> Dra Daniela Wagner </w:t>
      </w:r>
    </w:p>
    <w:p w:rsidR="004E48E2" w:rsidRDefault="00C04C74">
      <w:pPr>
        <w:spacing w:after="0" w:line="24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(Profesora Asociada, Efectiva, Dedicación Exclusiva)</w:t>
      </w:r>
    </w:p>
    <w:p w:rsidR="004E48E2" w:rsidRDefault="004E48E2">
      <w:pPr>
        <w:spacing w:after="0" w:line="240" w:lineRule="auto"/>
        <w:ind w:hanging="2"/>
        <w:rPr>
          <w:rFonts w:ascii="Times New Roman" w:eastAsia="Times New Roman" w:hAnsi="Times New Roman" w:cs="Times New Roman"/>
          <w:sz w:val="24"/>
          <w:szCs w:val="24"/>
        </w:rPr>
      </w:pPr>
    </w:p>
    <w:p w:rsidR="004E48E2" w:rsidRDefault="004E48E2">
      <w:pPr>
        <w:spacing w:after="0" w:line="240" w:lineRule="auto"/>
        <w:ind w:hanging="2"/>
        <w:rPr>
          <w:rFonts w:ascii="Times New Roman" w:eastAsia="Times New Roman" w:hAnsi="Times New Roman" w:cs="Times New Roman"/>
          <w:sz w:val="24"/>
          <w:szCs w:val="24"/>
        </w:rPr>
      </w:pPr>
    </w:p>
    <w:p w:rsidR="004E48E2" w:rsidRDefault="00C04C74">
      <w:pPr>
        <w:spacing w:after="0" w:line="240" w:lineRule="auto"/>
        <w:ind w:hanging="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Integrantes del equipo docente:</w:t>
      </w:r>
      <w:r>
        <w:rPr>
          <w:rFonts w:ascii="Times New Roman" w:eastAsia="Times New Roman" w:hAnsi="Times New Roman" w:cs="Times New Roman"/>
          <w:sz w:val="24"/>
          <w:szCs w:val="24"/>
        </w:rPr>
        <w:t xml:space="preserve"> </w:t>
      </w:r>
    </w:p>
    <w:p w:rsidR="004E48E2" w:rsidRDefault="004E48E2">
      <w:pPr>
        <w:spacing w:after="0" w:line="240" w:lineRule="auto"/>
        <w:ind w:hanging="2"/>
        <w:rPr>
          <w:rFonts w:ascii="Times New Roman" w:eastAsia="Times New Roman" w:hAnsi="Times New Roman" w:cs="Times New Roman"/>
          <w:sz w:val="24"/>
          <w:szCs w:val="24"/>
        </w:rPr>
      </w:pPr>
    </w:p>
    <w:p w:rsidR="004E48E2" w:rsidRDefault="00C04C74">
      <w:pPr>
        <w:spacing w:after="0" w:line="36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Mgter. Denis Reinoso </w:t>
      </w:r>
    </w:p>
    <w:p w:rsidR="004E48E2" w:rsidRDefault="00C04C74">
      <w:pPr>
        <w:spacing w:after="0" w:line="36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(Ayudante de Primera Efectivo, Dedicación semiexclusiva) </w:t>
      </w:r>
    </w:p>
    <w:p w:rsidR="004E48E2" w:rsidRDefault="004E48E2">
      <w:pPr>
        <w:pBdr>
          <w:top w:val="nil"/>
          <w:left w:val="nil"/>
          <w:bottom w:val="nil"/>
          <w:right w:val="nil"/>
          <w:between w:val="nil"/>
        </w:pBdr>
        <w:spacing w:after="0" w:line="360" w:lineRule="auto"/>
        <w:ind w:firstLine="0"/>
        <w:rPr>
          <w:rFonts w:ascii="Times New Roman" w:eastAsia="Times New Roman" w:hAnsi="Times New Roman" w:cs="Times New Roman"/>
          <w:b/>
          <w:bCs/>
          <w:color w:val="000000"/>
        </w:rPr>
      </w:pPr>
    </w:p>
    <w:p w:rsidR="004E48E2" w:rsidRDefault="004E48E2">
      <w:pPr>
        <w:spacing w:after="0" w:line="240" w:lineRule="auto"/>
        <w:ind w:hanging="2"/>
        <w:rPr>
          <w:rFonts w:ascii="Times New Roman" w:eastAsia="Times New Roman" w:hAnsi="Times New Roman" w:cs="Times New Roman"/>
          <w:sz w:val="24"/>
          <w:szCs w:val="24"/>
        </w:rPr>
      </w:pPr>
    </w:p>
    <w:p w:rsidR="004E48E2" w:rsidRDefault="004E48E2">
      <w:pPr>
        <w:spacing w:after="0" w:line="240" w:lineRule="auto"/>
        <w:ind w:hanging="2"/>
        <w:rPr>
          <w:rFonts w:ascii="Times New Roman" w:eastAsia="Times New Roman" w:hAnsi="Times New Roman" w:cs="Times New Roman"/>
          <w:sz w:val="24"/>
          <w:szCs w:val="24"/>
        </w:rPr>
      </w:pPr>
    </w:p>
    <w:p w:rsidR="004E48E2" w:rsidRDefault="004E48E2">
      <w:pPr>
        <w:spacing w:after="0" w:line="240" w:lineRule="auto"/>
        <w:ind w:hanging="2"/>
        <w:rPr>
          <w:rFonts w:ascii="Times New Roman" w:eastAsia="Times New Roman" w:hAnsi="Times New Roman" w:cs="Times New Roman"/>
          <w:sz w:val="24"/>
          <w:szCs w:val="24"/>
        </w:rPr>
      </w:pPr>
    </w:p>
    <w:p w:rsidR="004E48E2" w:rsidRDefault="004E48E2">
      <w:pPr>
        <w:spacing w:after="0" w:line="240" w:lineRule="auto"/>
        <w:ind w:hanging="2"/>
        <w:rPr>
          <w:rFonts w:ascii="Times New Roman" w:eastAsia="Times New Roman" w:hAnsi="Times New Roman" w:cs="Times New Roman"/>
          <w:sz w:val="24"/>
          <w:szCs w:val="24"/>
        </w:rPr>
      </w:pPr>
    </w:p>
    <w:p w:rsidR="004E48E2" w:rsidRDefault="004E48E2">
      <w:pPr>
        <w:spacing w:after="0" w:line="240" w:lineRule="auto"/>
        <w:ind w:hanging="2"/>
        <w:rPr>
          <w:rFonts w:ascii="Times New Roman" w:eastAsia="Times New Roman" w:hAnsi="Times New Roman" w:cs="Times New Roman"/>
          <w:sz w:val="24"/>
          <w:szCs w:val="24"/>
        </w:rPr>
      </w:pPr>
    </w:p>
    <w:p w:rsidR="004E48E2" w:rsidRDefault="00C04C74">
      <w:pPr>
        <w:spacing w:after="0" w:line="240" w:lineRule="auto"/>
        <w:ind w:hanging="2"/>
        <w:rPr>
          <w:rFonts w:ascii="Times New Roman" w:eastAsia="Times New Roman" w:hAnsi="Times New Roman" w:cs="Times New Roman"/>
          <w:color w:val="808080"/>
          <w:sz w:val="24"/>
          <w:szCs w:val="24"/>
        </w:rPr>
      </w:pPr>
      <w:r>
        <w:rPr>
          <w:rFonts w:ascii="Times New Roman" w:eastAsia="Times New Roman" w:hAnsi="Times New Roman" w:cs="Times New Roman"/>
          <w:b/>
          <w:bCs/>
          <w:sz w:val="24"/>
          <w:szCs w:val="24"/>
        </w:rPr>
        <w:t>Año académico:</w:t>
      </w:r>
      <w:r>
        <w:rPr>
          <w:rFonts w:ascii="Times New Roman" w:eastAsia="Times New Roman" w:hAnsi="Times New Roman" w:cs="Times New Roman"/>
          <w:sz w:val="24"/>
          <w:szCs w:val="24"/>
        </w:rPr>
        <w:t xml:space="preserve"> 2026</w:t>
      </w:r>
    </w:p>
    <w:p w:rsidR="004E48E2" w:rsidRDefault="004E48E2">
      <w:pPr>
        <w:spacing w:after="0" w:line="240" w:lineRule="auto"/>
        <w:ind w:hanging="2"/>
        <w:jc w:val="center"/>
        <w:rPr>
          <w:rFonts w:ascii="Times New Roman" w:eastAsia="Times New Roman" w:hAnsi="Times New Roman" w:cs="Times New Roman"/>
          <w:color w:val="808080"/>
          <w:sz w:val="24"/>
          <w:szCs w:val="24"/>
        </w:rPr>
      </w:pPr>
    </w:p>
    <w:p w:rsidR="004E48E2" w:rsidRDefault="00C04C74">
      <w:pPr>
        <w:spacing w:after="0" w:line="240" w:lineRule="auto"/>
        <w:ind w:hanging="2"/>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Lugar y fecha</w:t>
      </w:r>
      <w:r>
        <w:rPr>
          <w:rFonts w:ascii="Times New Roman" w:eastAsia="Times New Roman" w:hAnsi="Times New Roman" w:cs="Times New Roman"/>
          <w:b/>
          <w:bCs/>
          <w:color w:val="808080"/>
          <w:sz w:val="24"/>
          <w:szCs w:val="24"/>
        </w:rPr>
        <w:t xml:space="preserve">: </w:t>
      </w:r>
      <w:r>
        <w:rPr>
          <w:rFonts w:ascii="Times New Roman" w:eastAsia="Times New Roman" w:hAnsi="Times New Roman" w:cs="Times New Roman"/>
          <w:color w:val="000000"/>
          <w:sz w:val="24"/>
          <w:szCs w:val="24"/>
        </w:rPr>
        <w:t>Río Cuarto, abril de 2026</w:t>
      </w:r>
    </w:p>
    <w:p w:rsidR="004E48E2" w:rsidRDefault="004E48E2">
      <w:pPr>
        <w:spacing w:after="0" w:line="240" w:lineRule="auto"/>
        <w:ind w:hanging="2"/>
        <w:rPr>
          <w:rFonts w:ascii="Times New Roman" w:eastAsia="Times New Roman" w:hAnsi="Times New Roman" w:cs="Times New Roman"/>
          <w:color w:val="000000"/>
          <w:sz w:val="24"/>
          <w:szCs w:val="24"/>
        </w:rPr>
      </w:pPr>
    </w:p>
    <w:p w:rsidR="004E48E2" w:rsidRDefault="004E48E2">
      <w:pPr>
        <w:spacing w:line="240" w:lineRule="auto"/>
        <w:ind w:hanging="2"/>
        <w:rPr>
          <w:rFonts w:ascii="Times New Roman" w:eastAsia="Times New Roman" w:hAnsi="Times New Roman" w:cs="Times New Roman"/>
          <w:b/>
          <w:bCs/>
        </w:rPr>
      </w:pPr>
    </w:p>
    <w:p w:rsidR="004E48E2" w:rsidRDefault="004E48E2">
      <w:pPr>
        <w:spacing w:line="240" w:lineRule="auto"/>
        <w:ind w:hanging="2"/>
        <w:rPr>
          <w:rFonts w:ascii="Times New Roman" w:eastAsia="Times New Roman" w:hAnsi="Times New Roman" w:cs="Times New Roman"/>
          <w:b/>
          <w:bCs/>
        </w:rPr>
      </w:pPr>
    </w:p>
    <w:p w:rsidR="004E48E2" w:rsidRDefault="004E48E2">
      <w:pPr>
        <w:spacing w:line="240" w:lineRule="auto"/>
        <w:ind w:hanging="2"/>
        <w:rPr>
          <w:rFonts w:ascii="Times New Roman" w:eastAsia="Times New Roman" w:hAnsi="Times New Roman" w:cs="Times New Roman"/>
          <w:b/>
          <w:bCs/>
        </w:rPr>
      </w:pPr>
    </w:p>
    <w:p w:rsidR="004E48E2" w:rsidRDefault="004E48E2">
      <w:pPr>
        <w:spacing w:line="240" w:lineRule="auto"/>
        <w:ind w:hanging="2"/>
        <w:rPr>
          <w:rFonts w:ascii="Times New Roman" w:eastAsia="Times New Roman" w:hAnsi="Times New Roman" w:cs="Times New Roman"/>
          <w:b/>
          <w:bCs/>
        </w:rPr>
      </w:pPr>
    </w:p>
    <w:p w:rsidR="004E48E2" w:rsidRDefault="00C04C74">
      <w:pPr>
        <w:spacing w:after="0" w:line="240" w:lineRule="auto"/>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1. FUNDAMENTACIÓN</w:t>
      </w:r>
    </w:p>
    <w:p w:rsidR="004E48E2" w:rsidRDefault="004E48E2">
      <w:pPr>
        <w:spacing w:after="0" w:line="240" w:lineRule="auto"/>
        <w:ind w:hanging="2"/>
        <w:rPr>
          <w:rFonts w:ascii="Times New Roman" w:eastAsia="Times New Roman" w:hAnsi="Times New Roman" w:cs="Times New Roman"/>
          <w:b/>
          <w:bCs/>
          <w:sz w:val="24"/>
          <w:szCs w:val="24"/>
        </w:rPr>
      </w:pPr>
    </w:p>
    <w:p w:rsidR="004E48E2" w:rsidRDefault="00C04C74">
      <w:pPr>
        <w:spacing w:after="12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Cátedra introduce en los planteos fundamentales respecto a la construcción de la Historia como conocimiento científicamente elaborado, anclado en teorías, métodos y en la utilización de variadas fuentes de información. Considera distintas prácticas hist</w:t>
      </w:r>
      <w:r>
        <w:rPr>
          <w:rFonts w:ascii="Times New Roman" w:eastAsia="Times New Roman" w:hAnsi="Times New Roman" w:cs="Times New Roman"/>
          <w:sz w:val="24"/>
          <w:szCs w:val="24"/>
        </w:rPr>
        <w:t>oriográficas, especialmente las vinculadas con la profesionalización de la Historia ocurrida a fines del siglo XIX, desde un enfoque crítico, en diálogo con las ciencias sociales y atenta a la actualización de los debates historiográficos y académico-cient</w:t>
      </w:r>
      <w:r>
        <w:rPr>
          <w:rFonts w:ascii="Times New Roman" w:eastAsia="Times New Roman" w:hAnsi="Times New Roman" w:cs="Times New Roman"/>
          <w:sz w:val="24"/>
          <w:szCs w:val="24"/>
        </w:rPr>
        <w:t>íficos en general.  </w:t>
      </w:r>
    </w:p>
    <w:p w:rsidR="004E48E2" w:rsidRDefault="00C04C74">
      <w:pPr>
        <w:spacing w:after="12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objetivo de la asignatura es introducir a los y las estudiantes en el conocimiento histórico a partir de la familiarización con el lenguaje, conceptos, problemáticas, debates y autores representativos que estructuran este campo disc</w:t>
      </w:r>
      <w:r>
        <w:rPr>
          <w:rFonts w:ascii="Times New Roman" w:eastAsia="Times New Roman" w:hAnsi="Times New Roman" w:cs="Times New Roman"/>
          <w:sz w:val="24"/>
          <w:szCs w:val="24"/>
        </w:rPr>
        <w:t>iplinar.  </w:t>
      </w:r>
    </w:p>
    <w:p w:rsidR="004E48E2" w:rsidRDefault="00C04C74">
      <w:pPr>
        <w:spacing w:after="12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 ello se pretende profundizar en algunos momentos, dentro de la temporalidad occidental, y reflexionar sobre las formas de entender el tiempo y las maneras de escribir la historia en contextos situados. Asimismo se indaga sobre los conceptos </w:t>
      </w:r>
      <w:r>
        <w:rPr>
          <w:rFonts w:ascii="Times New Roman" w:eastAsia="Times New Roman" w:hAnsi="Times New Roman" w:cs="Times New Roman"/>
          <w:sz w:val="24"/>
          <w:szCs w:val="24"/>
        </w:rPr>
        <w:t>propios de la disciplina Historia, en interacción con aportes teóricos, procedentes de las ciencias sociales y de las ciencias en general. Interacción que fue asumiendo distintos matices a través del tiempo y que actualmente, ofrece índicos para entender l</w:t>
      </w:r>
      <w:r>
        <w:rPr>
          <w:rFonts w:ascii="Times New Roman" w:eastAsia="Times New Roman" w:hAnsi="Times New Roman" w:cs="Times New Roman"/>
          <w:sz w:val="24"/>
          <w:szCs w:val="24"/>
        </w:rPr>
        <w:t>a prevalencia de ciertas formas de hacer Historia en la comunidad de historiadores.</w:t>
      </w:r>
    </w:p>
    <w:p w:rsidR="004E48E2" w:rsidRDefault="004E48E2">
      <w:pPr>
        <w:spacing w:after="0" w:line="240" w:lineRule="auto"/>
        <w:ind w:hanging="2"/>
        <w:rPr>
          <w:rFonts w:ascii="Times New Roman" w:eastAsia="Times New Roman" w:hAnsi="Times New Roman" w:cs="Times New Roman"/>
          <w:b/>
          <w:bCs/>
          <w:sz w:val="16"/>
          <w:szCs w:val="16"/>
        </w:rPr>
      </w:pPr>
    </w:p>
    <w:p w:rsidR="004E48E2" w:rsidRDefault="004E48E2">
      <w:pPr>
        <w:spacing w:after="0" w:line="240" w:lineRule="auto"/>
        <w:ind w:hanging="2"/>
        <w:rPr>
          <w:rFonts w:ascii="Times New Roman" w:eastAsia="Times New Roman" w:hAnsi="Times New Roman" w:cs="Times New Roman"/>
          <w:b/>
          <w:bCs/>
          <w:sz w:val="16"/>
          <w:szCs w:val="16"/>
        </w:rPr>
      </w:pPr>
    </w:p>
    <w:p w:rsidR="004E48E2" w:rsidRDefault="00C04C74">
      <w:pPr>
        <w:spacing w:line="240" w:lineRule="auto"/>
        <w:ind w:hanging="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2. OBJETIVOS </w:t>
      </w:r>
      <w:bookmarkStart w:id="4" w:name="bookmark=id.2et92p0" w:colFirst="0" w:colLast="0"/>
      <w:bookmarkEnd w:id="4"/>
    </w:p>
    <w:p w:rsidR="004E48E2" w:rsidRDefault="00C04C74">
      <w:pPr>
        <w:numPr>
          <w:ilvl w:val="0"/>
          <w:numId w:val="13"/>
        </w:numPr>
        <w:tabs>
          <w:tab w:val="left" w:pos="426"/>
        </w:tabs>
        <w:spacing w:after="12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Conocer la historicidad de la Historia como construcción de conocimiento y su relación con las Ciencias Sociales. </w:t>
      </w:r>
    </w:p>
    <w:p w:rsidR="004E48E2" w:rsidRDefault="00C04C74">
      <w:pPr>
        <w:numPr>
          <w:ilvl w:val="0"/>
          <w:numId w:val="13"/>
        </w:numPr>
        <w:tabs>
          <w:tab w:val="left" w:pos="426"/>
        </w:tabs>
        <w:spacing w:after="12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Identificar los vínculos de la Historia con abordajes teóricos y prácticas metodológicas de otras áreas de conocimiento de lo social.</w:t>
      </w:r>
    </w:p>
    <w:p w:rsidR="004E48E2" w:rsidRDefault="00C04C74">
      <w:pPr>
        <w:numPr>
          <w:ilvl w:val="0"/>
          <w:numId w:val="13"/>
        </w:numPr>
        <w:tabs>
          <w:tab w:val="left" w:pos="426"/>
        </w:tabs>
        <w:spacing w:after="12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Adquirir una lectura comprensiva de la bibliografía y de la historiografía. </w:t>
      </w:r>
    </w:p>
    <w:p w:rsidR="004E48E2" w:rsidRDefault="00C04C74">
      <w:pPr>
        <w:numPr>
          <w:ilvl w:val="0"/>
          <w:numId w:val="13"/>
        </w:numPr>
        <w:tabs>
          <w:tab w:val="left" w:pos="426"/>
        </w:tabs>
        <w:spacing w:after="12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Articular los planteos historiográficos gener</w:t>
      </w:r>
      <w:r>
        <w:rPr>
          <w:rFonts w:ascii="Times New Roman" w:eastAsia="Times New Roman" w:hAnsi="Times New Roman" w:cs="Times New Roman"/>
          <w:sz w:val="24"/>
          <w:szCs w:val="24"/>
        </w:rPr>
        <w:t xml:space="preserve">ales/contextuales con autores y obras clásicas de los distintos períodos </w:t>
      </w:r>
    </w:p>
    <w:p w:rsidR="004E48E2" w:rsidRDefault="00C04C74">
      <w:pPr>
        <w:numPr>
          <w:ilvl w:val="0"/>
          <w:numId w:val="13"/>
        </w:numPr>
        <w:tabs>
          <w:tab w:val="left" w:pos="426"/>
        </w:tabs>
        <w:spacing w:after="12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Reconocer los fundamentos teóricos de distintas corrientes historiográficas.   </w:t>
      </w:r>
    </w:p>
    <w:p w:rsidR="004E48E2" w:rsidRDefault="00C04C74">
      <w:pPr>
        <w:numPr>
          <w:ilvl w:val="0"/>
          <w:numId w:val="13"/>
        </w:numPr>
        <w:tabs>
          <w:tab w:val="left" w:pos="426"/>
        </w:tabs>
        <w:spacing w:after="12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Reflexionar sobre la Historia como un conocimiento en continua construcción</w:t>
      </w:r>
    </w:p>
    <w:p w:rsidR="004E48E2" w:rsidRDefault="004E48E2">
      <w:pPr>
        <w:spacing w:after="120" w:line="240" w:lineRule="auto"/>
        <w:ind w:hanging="2"/>
        <w:jc w:val="both"/>
        <w:rPr>
          <w:rFonts w:ascii="Times New Roman" w:eastAsia="Times New Roman" w:hAnsi="Times New Roman" w:cs="Times New Roman"/>
          <w:sz w:val="24"/>
          <w:szCs w:val="24"/>
        </w:rPr>
      </w:pPr>
    </w:p>
    <w:p w:rsidR="004E48E2" w:rsidRDefault="004E48E2">
      <w:pPr>
        <w:spacing w:after="0" w:line="240" w:lineRule="auto"/>
        <w:ind w:hanging="2"/>
        <w:jc w:val="both"/>
        <w:rPr>
          <w:rFonts w:ascii="Times New Roman" w:eastAsia="Times New Roman" w:hAnsi="Times New Roman" w:cs="Times New Roman"/>
          <w:sz w:val="16"/>
          <w:szCs w:val="16"/>
        </w:rPr>
      </w:pPr>
    </w:p>
    <w:p w:rsidR="004E48E2" w:rsidRDefault="00C04C74">
      <w:pPr>
        <w:spacing w:line="240" w:lineRule="auto"/>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 CONTENIDOS: </w:t>
      </w:r>
    </w:p>
    <w:p w:rsidR="004E48E2" w:rsidRDefault="00C04C74">
      <w:pPr>
        <w:spacing w:after="12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Unidad 1</w:t>
      </w:r>
      <w:r>
        <w:rPr>
          <w:rFonts w:ascii="Times New Roman" w:eastAsia="Times New Roman" w:hAnsi="Times New Roman" w:cs="Times New Roman"/>
          <w:b/>
          <w:bCs/>
          <w:sz w:val="24"/>
          <w:szCs w:val="24"/>
        </w:rPr>
        <w:t>: Historia concepto polisémico</w:t>
      </w:r>
      <w:r>
        <w:rPr>
          <w:rFonts w:ascii="Times New Roman" w:eastAsia="Times New Roman" w:hAnsi="Times New Roman" w:cs="Times New Roman"/>
          <w:sz w:val="24"/>
          <w:szCs w:val="24"/>
        </w:rPr>
        <w:t xml:space="preserve">: </w:t>
      </w:r>
    </w:p>
    <w:p w:rsidR="004E48E2" w:rsidRDefault="00C04C74">
      <w:pPr>
        <w:numPr>
          <w:ilvl w:val="0"/>
          <w:numId w:val="12"/>
        </w:numPr>
        <w:pBdr>
          <w:top w:val="nil"/>
          <w:left w:val="nil"/>
          <w:bottom w:val="nil"/>
          <w:right w:val="nil"/>
          <w:between w:val="nil"/>
        </w:pBdr>
        <w:spacing w:after="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Historia como objeto de estudio (la realidad social en el tiempo)  y como disciplina que lo investiga. </w:t>
      </w:r>
    </w:p>
    <w:p w:rsidR="004E48E2" w:rsidRDefault="00C04C74">
      <w:pPr>
        <w:numPr>
          <w:ilvl w:val="0"/>
          <w:numId w:val="12"/>
        </w:numPr>
        <w:pBdr>
          <w:top w:val="nil"/>
          <w:left w:val="nil"/>
          <w:bottom w:val="nil"/>
          <w:right w:val="nil"/>
          <w:between w:val="nil"/>
        </w:pBdr>
        <w:spacing w:after="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 Historiografía: como propuesta teórica y metodológica para superar la ambigüedad conceptual de la Historia. </w:t>
      </w:r>
    </w:p>
    <w:p w:rsidR="004E48E2" w:rsidRDefault="00C04C74">
      <w:pPr>
        <w:numPr>
          <w:ilvl w:val="0"/>
          <w:numId w:val="12"/>
        </w:numPr>
        <w:pBdr>
          <w:top w:val="nil"/>
          <w:left w:val="nil"/>
          <w:bottom w:val="nil"/>
          <w:right w:val="nil"/>
          <w:between w:val="nil"/>
        </w:pBdr>
        <w:spacing w:after="12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El abordaje historiográfico del registro histórico a través del tiempo: formas, soportes, cosmovisiones, perspectivas teórico-metodológicas, conceptualizaciones sobre el tiempo, la relación con la memoria y el contexto social. </w:t>
      </w:r>
    </w:p>
    <w:p w:rsidR="004E48E2" w:rsidRDefault="00C04C74">
      <w:pPr>
        <w:keepNext/>
        <w:pBdr>
          <w:top w:val="nil"/>
          <w:left w:val="nil"/>
          <w:bottom w:val="nil"/>
          <w:right w:val="nil"/>
          <w:between w:val="nil"/>
        </w:pBdr>
        <w:spacing w:before="240" w:after="120" w:line="240" w:lineRule="auto"/>
        <w:ind w:left="-2" w:firstLine="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Unidad 2: De la memoria oral</w:t>
      </w:r>
      <w:r>
        <w:rPr>
          <w:rFonts w:ascii="Times New Roman" w:eastAsia="Times New Roman" w:hAnsi="Times New Roman" w:cs="Times New Roman"/>
          <w:b/>
          <w:bCs/>
          <w:color w:val="000000"/>
          <w:sz w:val="24"/>
          <w:szCs w:val="24"/>
        </w:rPr>
        <w:t xml:space="preserve"> a la memoria escrita y la transición a la Historia Moderna. </w:t>
      </w:r>
    </w:p>
    <w:p w:rsidR="004E48E2" w:rsidRDefault="00C04C74">
      <w:pPr>
        <w:numPr>
          <w:ilvl w:val="0"/>
          <w:numId w:val="1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 centralidad de la memoria oral en los registros históricos de las cultura de Medio Oriente y las originarias de América. Características, potencialidades y funciones de las narraciones orales. </w:t>
      </w:r>
    </w:p>
    <w:p w:rsidR="004E48E2" w:rsidRDefault="00C04C74">
      <w:pPr>
        <w:numPr>
          <w:ilvl w:val="0"/>
          <w:numId w:val="1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 salto hacia la memoria escrita, cambios, rupturas y coex</w:t>
      </w:r>
      <w:r>
        <w:rPr>
          <w:rFonts w:ascii="Times New Roman" w:eastAsia="Times New Roman" w:hAnsi="Times New Roman" w:cs="Times New Roman"/>
          <w:color w:val="000000"/>
          <w:sz w:val="24"/>
          <w:szCs w:val="24"/>
        </w:rPr>
        <w:t>istencias en los registros histórico míticos, teológicos y seculares: en autores de la antigüedad greco-romana e inicios del cristianismo.</w:t>
      </w:r>
    </w:p>
    <w:p w:rsidR="004E48E2" w:rsidRDefault="00C04C74">
      <w:pPr>
        <w:numPr>
          <w:ilvl w:val="0"/>
          <w:numId w:val="1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transición hacia la Historia moderna: rupturas con la memoria y el predominio de las fuentes escritas. Disputas en</w:t>
      </w:r>
      <w:r>
        <w:rPr>
          <w:rFonts w:ascii="Times New Roman" w:eastAsia="Times New Roman" w:hAnsi="Times New Roman" w:cs="Times New Roman"/>
          <w:color w:val="000000"/>
          <w:sz w:val="24"/>
          <w:szCs w:val="24"/>
        </w:rPr>
        <w:t xml:space="preserve"> torno a la autoridad y a la crítica de fuentes, como sustento de las narraciones históricas providencialistas y seculares. </w:t>
      </w:r>
    </w:p>
    <w:p w:rsidR="004E48E2" w:rsidRDefault="00C04C74">
      <w:pPr>
        <w:numPr>
          <w:ilvl w:val="0"/>
          <w:numId w:val="1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 recuperación del criticismo y el desarrollo de técnicas eruditas: la escritura de la Historia en el siglo de las Luces. </w:t>
      </w:r>
    </w:p>
    <w:p w:rsidR="004E48E2" w:rsidRDefault="004E48E2">
      <w:pPr>
        <w:pBdr>
          <w:top w:val="nil"/>
          <w:left w:val="nil"/>
          <w:bottom w:val="nil"/>
          <w:right w:val="nil"/>
          <w:between w:val="nil"/>
        </w:pBdr>
        <w:spacing w:after="0" w:line="240" w:lineRule="auto"/>
        <w:ind w:left="358" w:firstLine="0"/>
        <w:jc w:val="both"/>
        <w:rPr>
          <w:rFonts w:ascii="Times New Roman" w:eastAsia="Times New Roman" w:hAnsi="Times New Roman" w:cs="Times New Roman"/>
          <w:color w:val="000000"/>
          <w:sz w:val="24"/>
          <w:szCs w:val="24"/>
        </w:rPr>
      </w:pPr>
    </w:p>
    <w:p w:rsidR="004E48E2" w:rsidRDefault="00C04C74">
      <w:pPr>
        <w:pBdr>
          <w:top w:val="nil"/>
          <w:left w:val="nil"/>
          <w:bottom w:val="nil"/>
          <w:right w:val="nil"/>
          <w:between w:val="nil"/>
        </w:pBdr>
        <w:spacing w:after="0" w:line="240" w:lineRule="auto"/>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Unidad</w:t>
      </w:r>
      <w:r>
        <w:rPr>
          <w:rFonts w:ascii="Times New Roman" w:eastAsia="Times New Roman" w:hAnsi="Times New Roman" w:cs="Times New Roman"/>
          <w:b/>
          <w:bCs/>
          <w:color w:val="000000"/>
          <w:sz w:val="24"/>
          <w:szCs w:val="24"/>
        </w:rPr>
        <w:t xml:space="preserve"> 3: La preocupación por la cientificidad de la Historia en el siglo XIX:</w:t>
      </w:r>
      <w:r>
        <w:rPr>
          <w:rFonts w:ascii="Times New Roman" w:eastAsia="Times New Roman" w:hAnsi="Times New Roman" w:cs="Times New Roman"/>
          <w:color w:val="000000"/>
          <w:sz w:val="24"/>
          <w:szCs w:val="24"/>
        </w:rPr>
        <w:t xml:space="preserve"> </w:t>
      </w:r>
    </w:p>
    <w:p w:rsidR="004E48E2" w:rsidRDefault="004E48E2">
      <w:pPr>
        <w:pBdr>
          <w:top w:val="nil"/>
          <w:left w:val="nil"/>
          <w:bottom w:val="nil"/>
          <w:right w:val="nil"/>
          <w:between w:val="nil"/>
        </w:pBdr>
        <w:spacing w:after="0" w:line="240" w:lineRule="auto"/>
        <w:ind w:firstLine="0"/>
        <w:jc w:val="both"/>
        <w:rPr>
          <w:rFonts w:ascii="Times New Roman" w:eastAsia="Times New Roman" w:hAnsi="Times New Roman" w:cs="Times New Roman"/>
          <w:color w:val="000000"/>
          <w:sz w:val="24"/>
          <w:szCs w:val="24"/>
        </w:rPr>
      </w:pPr>
    </w:p>
    <w:p w:rsidR="004E48E2" w:rsidRDefault="00C04C74">
      <w:pPr>
        <w:numPr>
          <w:ilvl w:val="0"/>
          <w:numId w:val="12"/>
        </w:numPr>
        <w:pBdr>
          <w:top w:val="nil"/>
          <w:left w:val="nil"/>
          <w:bottom w:val="nil"/>
          <w:right w:val="nil"/>
          <w:between w:val="nil"/>
        </w:pBdr>
        <w:spacing w:after="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Institucionalización, profesionalización y fundamentación metódico-documental para la escritura científica de la Historia: propuestas del  Historicismo y el Positivismo. </w:t>
      </w:r>
    </w:p>
    <w:p w:rsidR="004E48E2" w:rsidRDefault="00C04C74">
      <w:pPr>
        <w:numPr>
          <w:ilvl w:val="0"/>
          <w:numId w:val="12"/>
        </w:numPr>
        <w:pBdr>
          <w:top w:val="nil"/>
          <w:left w:val="nil"/>
          <w:bottom w:val="nil"/>
          <w:right w:val="nil"/>
          <w:between w:val="nil"/>
        </w:pBdr>
        <w:spacing w:after="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 surgimiento de las ciencias sociales y sus repercusiones en el  debate entre ciencias ideográficas y nomotéticas.</w:t>
      </w:r>
    </w:p>
    <w:p w:rsidR="004E48E2" w:rsidRDefault="00C04C74">
      <w:pPr>
        <w:numPr>
          <w:ilvl w:val="0"/>
          <w:numId w:val="12"/>
        </w:numPr>
        <w:pBdr>
          <w:top w:val="nil"/>
          <w:left w:val="nil"/>
          <w:bottom w:val="nil"/>
          <w:right w:val="nil"/>
          <w:between w:val="nil"/>
        </w:pBdr>
        <w:spacing w:after="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Los cuestionamientos de Marx al discurso filosófico (idealismo, neokantismo) y erudito de legitimación de la Historia Occidental.  </w:t>
      </w:r>
    </w:p>
    <w:p w:rsidR="004E48E2" w:rsidRDefault="00C04C74">
      <w:pPr>
        <w:numPr>
          <w:ilvl w:val="0"/>
          <w:numId w:val="12"/>
        </w:numPr>
        <w:pBdr>
          <w:top w:val="nil"/>
          <w:left w:val="nil"/>
          <w:bottom w:val="nil"/>
          <w:right w:val="nil"/>
          <w:between w:val="nil"/>
        </w:pBdr>
        <w:spacing w:after="0" w:line="240" w:lineRule="auto"/>
        <w:ind w:left="357"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 orig</w:t>
      </w:r>
      <w:r>
        <w:rPr>
          <w:rFonts w:ascii="Times New Roman" w:eastAsia="Times New Roman" w:hAnsi="Times New Roman" w:cs="Times New Roman"/>
          <w:color w:val="000000"/>
          <w:sz w:val="24"/>
          <w:szCs w:val="24"/>
        </w:rPr>
        <w:t xml:space="preserve">en de la historia crítica: la perspectiva dialéctica materialista y la filosofía de la praxis. Bifurcaciones del materialismo histórico hacia perspectivas cientificistas y filosóficas. </w:t>
      </w:r>
    </w:p>
    <w:p w:rsidR="004E48E2" w:rsidRDefault="004E48E2">
      <w:pPr>
        <w:pBdr>
          <w:top w:val="nil"/>
          <w:left w:val="nil"/>
          <w:bottom w:val="nil"/>
          <w:right w:val="nil"/>
          <w:between w:val="nil"/>
        </w:pBdr>
        <w:spacing w:after="0" w:line="240" w:lineRule="auto"/>
        <w:ind w:left="358" w:firstLine="0"/>
        <w:jc w:val="both"/>
        <w:rPr>
          <w:rFonts w:ascii="Times New Roman" w:eastAsia="Times New Roman" w:hAnsi="Times New Roman" w:cs="Times New Roman"/>
          <w:color w:val="000000"/>
          <w:sz w:val="24"/>
          <w:szCs w:val="24"/>
        </w:rPr>
      </w:pPr>
    </w:p>
    <w:p w:rsidR="004E48E2" w:rsidRDefault="00C04C74">
      <w:pPr>
        <w:pBdr>
          <w:top w:val="nil"/>
          <w:left w:val="nil"/>
          <w:bottom w:val="nil"/>
          <w:right w:val="nil"/>
          <w:between w:val="nil"/>
        </w:pBdr>
        <w:spacing w:after="0" w:line="240" w:lineRule="auto"/>
        <w:ind w:firstLine="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Unidad 4: La Historia como práctica historiográfica innovadora e inte</w:t>
      </w:r>
      <w:r>
        <w:rPr>
          <w:rFonts w:ascii="Times New Roman" w:eastAsia="Times New Roman" w:hAnsi="Times New Roman" w:cs="Times New Roman"/>
          <w:b/>
          <w:bCs/>
          <w:color w:val="000000"/>
          <w:sz w:val="24"/>
          <w:szCs w:val="24"/>
        </w:rPr>
        <w:t xml:space="preserve">rdisciplinar </w:t>
      </w:r>
    </w:p>
    <w:p w:rsidR="004E48E2" w:rsidRDefault="004E48E2">
      <w:pPr>
        <w:pBdr>
          <w:top w:val="nil"/>
          <w:left w:val="nil"/>
          <w:bottom w:val="nil"/>
          <w:right w:val="nil"/>
          <w:between w:val="nil"/>
        </w:pBdr>
        <w:spacing w:after="0" w:line="240" w:lineRule="auto"/>
        <w:ind w:firstLine="0"/>
        <w:jc w:val="both"/>
        <w:rPr>
          <w:rFonts w:ascii="Times New Roman" w:eastAsia="Times New Roman" w:hAnsi="Times New Roman" w:cs="Times New Roman"/>
          <w:b/>
          <w:bCs/>
          <w:color w:val="000000"/>
          <w:sz w:val="24"/>
          <w:szCs w:val="24"/>
        </w:rPr>
      </w:pPr>
    </w:p>
    <w:p w:rsidR="004E48E2" w:rsidRDefault="00C04C74">
      <w:pPr>
        <w:numPr>
          <w:ilvl w:val="0"/>
          <w:numId w:val="12"/>
        </w:numPr>
        <w:pBdr>
          <w:top w:val="nil"/>
          <w:left w:val="nil"/>
          <w:bottom w:val="nil"/>
          <w:right w:val="nil"/>
          <w:between w:val="nil"/>
        </w:pBdr>
        <w:spacing w:after="0" w:line="240" w:lineRule="auto"/>
        <w:ind w:left="357" w:hanging="357"/>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La propuesta de la Escuela de Annales como alternativa a la Historia positivista-historicista. Primera generación: Bloch y Febvre, la perspectiva de la sociología funcionalista, vinculo entre Historia y ciencias sociales.</w:t>
      </w:r>
    </w:p>
    <w:p w:rsidR="004E48E2" w:rsidRDefault="00C04C74">
      <w:pPr>
        <w:numPr>
          <w:ilvl w:val="0"/>
          <w:numId w:val="12"/>
        </w:numPr>
        <w:pBdr>
          <w:top w:val="nil"/>
          <w:left w:val="nil"/>
          <w:bottom w:val="nil"/>
          <w:right w:val="nil"/>
          <w:between w:val="nil"/>
        </w:pBdr>
        <w:spacing w:after="0" w:line="240" w:lineRule="auto"/>
        <w:ind w:left="357" w:hanging="357"/>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Segunda generación: Braudel, la triple temporalidad y el predominio del modelo científico-estructuralista. La construcción de explicaciones/modelos generales, el desarrollo de la historia cuantitativa y el acercamiento al marxismo estructuralista.   </w:t>
      </w:r>
    </w:p>
    <w:p w:rsidR="004E48E2" w:rsidRDefault="00C04C74">
      <w:pPr>
        <w:numPr>
          <w:ilvl w:val="0"/>
          <w:numId w:val="12"/>
        </w:numPr>
        <w:pBdr>
          <w:top w:val="nil"/>
          <w:left w:val="nil"/>
          <w:bottom w:val="nil"/>
          <w:right w:val="nil"/>
          <w:between w:val="nil"/>
        </w:pBdr>
        <w:spacing w:after="0" w:line="240" w:lineRule="auto"/>
        <w:ind w:left="357" w:hanging="357"/>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Terce</w:t>
      </w:r>
      <w:r>
        <w:rPr>
          <w:rFonts w:ascii="Times New Roman" w:eastAsia="Times New Roman" w:hAnsi="Times New Roman" w:cs="Times New Roman"/>
          <w:color w:val="000000"/>
          <w:sz w:val="24"/>
          <w:szCs w:val="24"/>
        </w:rPr>
        <w:t>ra generación: Le Goff y Norá, la novísima Historia y los retornos del acontecimiento, del sujeto y de la narración. Acercamientos con la Historiografía Social Británica</w:t>
      </w:r>
    </w:p>
    <w:p w:rsidR="004E48E2" w:rsidRDefault="004E48E2">
      <w:pPr>
        <w:pBdr>
          <w:top w:val="nil"/>
          <w:left w:val="nil"/>
          <w:bottom w:val="nil"/>
          <w:right w:val="nil"/>
          <w:between w:val="nil"/>
        </w:pBdr>
        <w:spacing w:after="0" w:line="240" w:lineRule="auto"/>
        <w:ind w:left="358" w:firstLine="0"/>
        <w:jc w:val="both"/>
        <w:rPr>
          <w:rFonts w:ascii="Times New Roman" w:eastAsia="Times New Roman" w:hAnsi="Times New Roman" w:cs="Times New Roman"/>
          <w:color w:val="000000"/>
          <w:sz w:val="24"/>
          <w:szCs w:val="24"/>
        </w:rPr>
      </w:pPr>
    </w:p>
    <w:p w:rsidR="004E48E2" w:rsidRDefault="00C04C74">
      <w:pPr>
        <w:pBdr>
          <w:top w:val="nil"/>
          <w:left w:val="nil"/>
          <w:bottom w:val="nil"/>
          <w:right w:val="nil"/>
          <w:between w:val="nil"/>
        </w:pBdr>
        <w:spacing w:after="0" w:line="240" w:lineRule="auto"/>
        <w:ind w:firstLine="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Unidad 5: Transformaciones sociales: cuestionamientos y desafíos recientes para las f</w:t>
      </w:r>
      <w:r>
        <w:rPr>
          <w:rFonts w:ascii="Times New Roman" w:eastAsia="Times New Roman" w:hAnsi="Times New Roman" w:cs="Times New Roman"/>
          <w:b/>
          <w:bCs/>
          <w:color w:val="000000"/>
          <w:sz w:val="24"/>
          <w:szCs w:val="24"/>
        </w:rPr>
        <w:t>ormas de hacer historia</w:t>
      </w:r>
    </w:p>
    <w:p w:rsidR="004E48E2" w:rsidRDefault="00C04C74">
      <w:pPr>
        <w:numPr>
          <w:ilvl w:val="0"/>
          <w:numId w:val="12"/>
        </w:num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Transformaciones sociales, la ruptura de los grandes paradigmas y el fin del optimismo científico. </w:t>
      </w:r>
    </w:p>
    <w:p w:rsidR="004E48E2" w:rsidRDefault="00C04C74">
      <w:pPr>
        <w:numPr>
          <w:ilvl w:val="0"/>
          <w:numId w:val="12"/>
        </w:num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lastRenderedPageBreak/>
        <w:t xml:space="preserve">El impacto del posmodernismo en la historia: planteos desde el giro lingüístico, el giro antropológico y el giro digital. </w:t>
      </w:r>
    </w:p>
    <w:p w:rsidR="004E48E2" w:rsidRDefault="00C04C74">
      <w:pPr>
        <w:numPr>
          <w:ilvl w:val="0"/>
          <w:numId w:val="12"/>
        </w:num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Réplicas al posmodernismo y propuestas historiográficas para un contexto social desafiante: </w:t>
      </w:r>
    </w:p>
    <w:p w:rsidR="004E48E2" w:rsidRDefault="00C04C74">
      <w:pPr>
        <w:keepNext/>
        <w:pBdr>
          <w:top w:val="nil"/>
          <w:left w:val="nil"/>
          <w:bottom w:val="nil"/>
          <w:right w:val="nil"/>
          <w:between w:val="nil"/>
        </w:pBdr>
        <w:tabs>
          <w:tab w:val="left" w:pos="709"/>
        </w:tabs>
        <w:spacing w:after="0"/>
        <w:ind w:left="709"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desde la perspectiva de la historia-antropológica-decolonial (énfasis en la cultura, los sujetos, los desde abajo y los vínculos entre los géneros)</w:t>
      </w:r>
    </w:p>
    <w:p w:rsidR="004E48E2" w:rsidRDefault="00C04C74">
      <w:pPr>
        <w:keepNext/>
        <w:pBdr>
          <w:top w:val="nil"/>
          <w:left w:val="nil"/>
          <w:bottom w:val="nil"/>
          <w:right w:val="nil"/>
          <w:between w:val="nil"/>
        </w:pBdr>
        <w:tabs>
          <w:tab w:val="left" w:pos="709"/>
        </w:tabs>
        <w:spacing w:after="0"/>
        <w:ind w:left="709"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el giro l</w:t>
      </w:r>
      <w:r>
        <w:rPr>
          <w:rFonts w:ascii="Times New Roman" w:eastAsia="Times New Roman" w:hAnsi="Times New Roman" w:cs="Times New Roman"/>
          <w:color w:val="000000"/>
          <w:sz w:val="24"/>
          <w:szCs w:val="24"/>
        </w:rPr>
        <w:t xml:space="preserve">ingüístico y el debate sobre el carácter narrativo de la historia: de los “indicios” a los enfoques posnarrativistas </w:t>
      </w:r>
    </w:p>
    <w:p w:rsidR="004E48E2" w:rsidRDefault="00C04C74">
      <w:pPr>
        <w:keepNext/>
        <w:pBdr>
          <w:top w:val="nil"/>
          <w:left w:val="nil"/>
          <w:bottom w:val="nil"/>
          <w:right w:val="nil"/>
          <w:between w:val="nil"/>
        </w:pBdr>
        <w:spacing w:after="60"/>
        <w:ind w:left="709"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desde la reducción de escalas de observación, como instrumento explicativo-interpretativo (en los planteos de la microhistoria italiana</w:t>
      </w:r>
      <w:r>
        <w:rPr>
          <w:rFonts w:ascii="Times New Roman" w:eastAsia="Times New Roman" w:hAnsi="Times New Roman" w:cs="Times New Roman"/>
          <w:color w:val="000000"/>
          <w:sz w:val="24"/>
          <w:szCs w:val="24"/>
        </w:rPr>
        <w:t xml:space="preserve"> o el microanálisis de Annales)</w:t>
      </w:r>
    </w:p>
    <w:p w:rsidR="004E48E2" w:rsidRDefault="004E48E2">
      <w:pPr>
        <w:spacing w:after="0" w:line="240" w:lineRule="auto"/>
        <w:ind w:hanging="2"/>
        <w:jc w:val="both"/>
        <w:rPr>
          <w:rFonts w:ascii="Times New Roman" w:eastAsia="Times New Roman" w:hAnsi="Times New Roman" w:cs="Times New Roman"/>
          <w:sz w:val="24"/>
          <w:szCs w:val="24"/>
        </w:rPr>
      </w:pPr>
    </w:p>
    <w:p w:rsidR="004E48E2" w:rsidRDefault="00C04C74">
      <w:pPr>
        <w:spacing w:after="120" w:line="240" w:lineRule="auto"/>
        <w:ind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w:t>
      </w:r>
      <w:bookmarkStart w:id="5" w:name="bookmark=id.tyjcwt" w:colFirst="0" w:colLast="0"/>
      <w:bookmarkEnd w:id="5"/>
      <w:r>
        <w:rPr>
          <w:rFonts w:ascii="Times New Roman" w:eastAsia="Times New Roman" w:hAnsi="Times New Roman" w:cs="Times New Roman"/>
          <w:b/>
          <w:bCs/>
          <w:sz w:val="24"/>
          <w:szCs w:val="24"/>
        </w:rPr>
        <w:t xml:space="preserve">. METODOLOGÍA DE TRABAJO </w:t>
      </w:r>
    </w:p>
    <w:p w:rsidR="004E48E2" w:rsidRDefault="00C04C74">
      <w:pPr>
        <w:pBdr>
          <w:top w:val="nil"/>
          <w:left w:val="nil"/>
          <w:bottom w:val="nil"/>
          <w:right w:val="nil"/>
          <w:between w:val="nil"/>
        </w:pBdr>
        <w:tabs>
          <w:tab w:val="left" w:pos="0"/>
        </w:tabs>
        <w:spacing w:before="120" w:after="120" w:line="240" w:lineRule="auto"/>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Desarrollo de clases teóricas y prácticas por núcleos temáticos, en las que se favorecerá el desarrollo de las siguientes habilidades:</w:t>
      </w:r>
    </w:p>
    <w:p w:rsidR="004E48E2" w:rsidRDefault="00C04C74">
      <w:pPr>
        <w:numPr>
          <w:ilvl w:val="0"/>
          <w:numId w:val="14"/>
        </w:numPr>
        <w:tabs>
          <w:tab w:val="left" w:pos="426"/>
        </w:tabs>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Identificar en la bibliografía propuesta el lenguaje teórico (conceptos) del autor en cuestión y su relación con las distintas corrientes de pensamiento histórico.</w:t>
      </w:r>
    </w:p>
    <w:p w:rsidR="004E48E2" w:rsidRDefault="00C04C74">
      <w:pPr>
        <w:numPr>
          <w:ilvl w:val="0"/>
          <w:numId w:val="14"/>
        </w:numPr>
        <w:tabs>
          <w:tab w:val="left" w:pos="426"/>
        </w:tabs>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Reflexionar sobre el proceso de construcción del conocimiento histórico.</w:t>
      </w:r>
    </w:p>
    <w:p w:rsidR="004E48E2" w:rsidRDefault="00C04C74">
      <w:pPr>
        <w:numPr>
          <w:ilvl w:val="0"/>
          <w:numId w:val="14"/>
        </w:numPr>
        <w:tabs>
          <w:tab w:val="left" w:pos="426"/>
        </w:tabs>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Promover la reflexi</w:t>
      </w:r>
      <w:r>
        <w:rPr>
          <w:rFonts w:ascii="Times New Roman" w:eastAsia="Times New Roman" w:hAnsi="Times New Roman" w:cs="Times New Roman"/>
          <w:color w:val="000000"/>
          <w:sz w:val="24"/>
          <w:szCs w:val="24"/>
        </w:rPr>
        <w:t xml:space="preserve">ón crítica sobre la relación historiografía y modelos socio-políticos. </w:t>
      </w:r>
    </w:p>
    <w:p w:rsidR="004E48E2" w:rsidRDefault="00C04C74">
      <w:pPr>
        <w:numPr>
          <w:ilvl w:val="0"/>
          <w:numId w:val="14"/>
        </w:numPr>
        <w:tabs>
          <w:tab w:val="left" w:pos="426"/>
        </w:tabs>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Comparar formas de construcción histórica.</w:t>
      </w:r>
    </w:p>
    <w:p w:rsidR="004E48E2" w:rsidRDefault="00C04C74">
      <w:pPr>
        <w:numPr>
          <w:ilvl w:val="0"/>
          <w:numId w:val="14"/>
        </w:numPr>
        <w:tabs>
          <w:tab w:val="left" w:pos="426"/>
        </w:tabs>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Favorecer el aprendizaje y la elaboración de estrategias cognitivas apropiadas para el estudio de la Historia, fundamentalmente habilidades v</w:t>
      </w:r>
      <w:r>
        <w:rPr>
          <w:rFonts w:ascii="Times New Roman" w:eastAsia="Times New Roman" w:hAnsi="Times New Roman" w:cs="Times New Roman"/>
          <w:color w:val="000000"/>
          <w:sz w:val="24"/>
          <w:szCs w:val="24"/>
        </w:rPr>
        <w:t>inculadas a la lecto-escritura académica.</w:t>
      </w:r>
    </w:p>
    <w:p w:rsidR="004E48E2" w:rsidRDefault="004E48E2">
      <w:pPr>
        <w:spacing w:after="120" w:line="240" w:lineRule="auto"/>
        <w:ind w:firstLine="0"/>
        <w:jc w:val="both"/>
        <w:rPr>
          <w:rFonts w:ascii="Times New Roman" w:eastAsia="Times New Roman" w:hAnsi="Times New Roman" w:cs="Times New Roman"/>
          <w:color w:val="000000"/>
          <w:sz w:val="24"/>
          <w:szCs w:val="24"/>
        </w:rPr>
      </w:pPr>
    </w:p>
    <w:p w:rsidR="004E48E2" w:rsidRDefault="00C04C74">
      <w:pPr>
        <w:spacing w:after="120" w:line="240" w:lineRule="auto"/>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Ejercitar las siguientes operaciones mentales:</w:t>
      </w:r>
    </w:p>
    <w:p w:rsidR="004E48E2" w:rsidRDefault="00C04C74">
      <w:pPr>
        <w:numPr>
          <w:ilvl w:val="0"/>
          <w:numId w:val="15"/>
        </w:numPr>
        <w:tabs>
          <w:tab w:val="left" w:pos="426"/>
        </w:tabs>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Inducción (de lo concreto a lo abstracto, de la realidad a la teoría, del presente al pasado).</w:t>
      </w:r>
    </w:p>
    <w:p w:rsidR="004E48E2" w:rsidRDefault="00C04C74">
      <w:pPr>
        <w:numPr>
          <w:ilvl w:val="0"/>
          <w:numId w:val="15"/>
        </w:numPr>
        <w:tabs>
          <w:tab w:val="left" w:pos="426"/>
        </w:tabs>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Deducción (de lo abstracto a lo concreto, de la teoría a la realidad, d</w:t>
      </w:r>
      <w:r>
        <w:rPr>
          <w:rFonts w:ascii="Times New Roman" w:eastAsia="Times New Roman" w:hAnsi="Times New Roman" w:cs="Times New Roman"/>
          <w:color w:val="000000"/>
          <w:sz w:val="24"/>
          <w:szCs w:val="24"/>
        </w:rPr>
        <w:t>el pasado al presente)</w:t>
      </w:r>
    </w:p>
    <w:p w:rsidR="004E48E2" w:rsidRDefault="00C04C74">
      <w:pPr>
        <w:numPr>
          <w:ilvl w:val="0"/>
          <w:numId w:val="15"/>
        </w:numPr>
        <w:tabs>
          <w:tab w:val="left" w:pos="426"/>
        </w:tabs>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Análisis (del todo a las partes).</w:t>
      </w:r>
    </w:p>
    <w:p w:rsidR="004E48E2" w:rsidRDefault="00C04C74">
      <w:pPr>
        <w:numPr>
          <w:ilvl w:val="0"/>
          <w:numId w:val="15"/>
        </w:numPr>
        <w:tabs>
          <w:tab w:val="left" w:pos="426"/>
        </w:tabs>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Síntesis (de las partes al todo).</w:t>
      </w:r>
    </w:p>
    <w:p w:rsidR="004E48E2" w:rsidRDefault="00C04C74">
      <w:pPr>
        <w:numPr>
          <w:ilvl w:val="0"/>
          <w:numId w:val="15"/>
        </w:numPr>
        <w:tabs>
          <w:tab w:val="left" w:pos="426"/>
        </w:tabs>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Comparación (resaltar lo semejante y distinguir las diferencias entre series análogas)</w:t>
      </w:r>
    </w:p>
    <w:p w:rsidR="004E48E2" w:rsidRDefault="00C04C74">
      <w:pPr>
        <w:numPr>
          <w:ilvl w:val="0"/>
          <w:numId w:val="15"/>
        </w:numPr>
        <w:tabs>
          <w:tab w:val="left" w:pos="426"/>
        </w:tabs>
        <w:spacing w:after="12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Comprensión dialéctica: (lo específico en la totalidad, interrelaciones, reciprocidades, implicancias, contradicciones, oposiciones.)</w:t>
      </w:r>
    </w:p>
    <w:p w:rsidR="004E48E2" w:rsidRDefault="004E48E2">
      <w:pPr>
        <w:spacing w:after="120" w:line="240" w:lineRule="auto"/>
        <w:ind w:hanging="2"/>
        <w:jc w:val="both"/>
        <w:rPr>
          <w:rFonts w:ascii="Times New Roman" w:eastAsia="Times New Roman" w:hAnsi="Times New Roman" w:cs="Times New Roman"/>
          <w:sz w:val="24"/>
          <w:szCs w:val="24"/>
        </w:rPr>
      </w:pPr>
    </w:p>
    <w:p w:rsidR="004E48E2" w:rsidRDefault="00C04C74">
      <w:pPr>
        <w:spacing w:after="12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Como apoyo didáctico se utilizará la </w:t>
      </w:r>
      <w:r>
        <w:rPr>
          <w:rFonts w:ascii="Times New Roman" w:eastAsia="Times New Roman" w:hAnsi="Times New Roman" w:cs="Times New Roman"/>
          <w:b/>
          <w:bCs/>
          <w:sz w:val="24"/>
          <w:szCs w:val="24"/>
        </w:rPr>
        <w:t>Plataforma EVELIA-UNRC</w:t>
      </w:r>
      <w:r>
        <w:rPr>
          <w:rFonts w:ascii="Times New Roman" w:eastAsia="Times New Roman" w:hAnsi="Times New Roman" w:cs="Times New Roman"/>
          <w:sz w:val="24"/>
          <w:szCs w:val="24"/>
        </w:rPr>
        <w:t xml:space="preserve"> (Aula: Introducción a la Historia y a las Ciencias Sociales (</w:t>
      </w:r>
      <w:r>
        <w:rPr>
          <w:rFonts w:ascii="Times New Roman" w:eastAsia="Times New Roman" w:hAnsi="Times New Roman" w:cs="Times New Roman"/>
          <w:sz w:val="24"/>
          <w:szCs w:val="24"/>
        </w:rPr>
        <w:t xml:space="preserve">6680) -2026), donde los estudiantes contarán con </w:t>
      </w:r>
      <w:r>
        <w:rPr>
          <w:rFonts w:ascii="Times New Roman" w:eastAsia="Times New Roman" w:hAnsi="Times New Roman" w:cs="Times New Roman"/>
          <w:sz w:val="24"/>
          <w:szCs w:val="24"/>
        </w:rPr>
        <w:lastRenderedPageBreak/>
        <w:t>recursos bibliográficos en distintos soportes y espacio para el envío de los trabajos prácticos. A los efectos de brindar espacios para la alfabetización en las nuevas tecnologías y la participación interact</w:t>
      </w:r>
      <w:r>
        <w:rPr>
          <w:rFonts w:ascii="Times New Roman" w:eastAsia="Times New Roman" w:hAnsi="Times New Roman" w:cs="Times New Roman"/>
          <w:sz w:val="24"/>
          <w:szCs w:val="24"/>
        </w:rPr>
        <w:t>iva en la construcción de los aprendizajes. Para la Inscripción en el aula virtual no se necesita código.</w:t>
      </w:r>
    </w:p>
    <w:p w:rsidR="004E48E2" w:rsidRDefault="004E48E2">
      <w:pPr>
        <w:spacing w:after="120" w:line="240" w:lineRule="auto"/>
        <w:ind w:hanging="2"/>
        <w:jc w:val="both"/>
        <w:rPr>
          <w:rFonts w:ascii="Times New Roman" w:eastAsia="Times New Roman" w:hAnsi="Times New Roman" w:cs="Times New Roman"/>
          <w:sz w:val="24"/>
          <w:szCs w:val="24"/>
        </w:rPr>
      </w:pPr>
    </w:p>
    <w:p w:rsidR="004E48E2" w:rsidRDefault="00C04C74">
      <w:pPr>
        <w:spacing w:after="120" w:line="240" w:lineRule="auto"/>
        <w:ind w:hanging="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5. EVALUACION </w:t>
      </w:r>
      <w:bookmarkStart w:id="6" w:name="bookmark=id.3dy6vkm" w:colFirst="0" w:colLast="0"/>
      <w:bookmarkEnd w:id="6"/>
    </w:p>
    <w:p w:rsidR="004E48E2" w:rsidRDefault="00C04C74">
      <w:pPr>
        <w:spacing w:after="12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Los criterios de evaluación tanto para los trabajos prácticos, exámenes parciales y finales serán:</w:t>
      </w:r>
    </w:p>
    <w:p w:rsidR="004E48E2" w:rsidRDefault="00C04C74">
      <w:pPr>
        <w:numPr>
          <w:ilvl w:val="0"/>
          <w:numId w:val="16"/>
        </w:numPr>
        <w:tabs>
          <w:tab w:val="left" w:pos="426"/>
        </w:tabs>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Que los estudiantes manifiesten dom</w:t>
      </w:r>
      <w:r>
        <w:rPr>
          <w:rFonts w:ascii="Times New Roman" w:eastAsia="Times New Roman" w:hAnsi="Times New Roman" w:cs="Times New Roman"/>
          <w:color w:val="000000"/>
          <w:sz w:val="24"/>
          <w:szCs w:val="24"/>
        </w:rPr>
        <w:t xml:space="preserve">inio de los contenidos disciplinares comprendidos en el programa. </w:t>
      </w:r>
    </w:p>
    <w:p w:rsidR="004E48E2" w:rsidRDefault="00C04C74">
      <w:pPr>
        <w:numPr>
          <w:ilvl w:val="0"/>
          <w:numId w:val="16"/>
        </w:numPr>
        <w:tabs>
          <w:tab w:val="left" w:pos="426"/>
        </w:tabs>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Comprensión de las consignas solicitadas</w:t>
      </w:r>
    </w:p>
    <w:p w:rsidR="004E48E2" w:rsidRDefault="00C04C74">
      <w:pPr>
        <w:numPr>
          <w:ilvl w:val="0"/>
          <w:numId w:val="16"/>
        </w:numPr>
        <w:tabs>
          <w:tab w:val="left" w:pos="426"/>
        </w:tabs>
        <w:spacing w:after="0" w:line="240" w:lineRule="auto"/>
        <w:ind w:left="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Capacidad de exponer conceptos con precisión y vocabulario académico</w:t>
      </w:r>
    </w:p>
    <w:p w:rsidR="004E48E2" w:rsidRDefault="00C04C74">
      <w:pPr>
        <w:numPr>
          <w:ilvl w:val="0"/>
          <w:numId w:val="16"/>
        </w:numPr>
        <w:tabs>
          <w:tab w:val="left" w:pos="-1985"/>
          <w:tab w:val="left" w:pos="426"/>
        </w:tabs>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Destreza en la reelaboración de textos (escritos y orales) y coherencia en la a</w:t>
      </w:r>
      <w:r>
        <w:rPr>
          <w:rFonts w:ascii="Times New Roman" w:eastAsia="Times New Roman" w:hAnsi="Times New Roman" w:cs="Times New Roman"/>
          <w:color w:val="000000"/>
          <w:sz w:val="24"/>
          <w:szCs w:val="24"/>
        </w:rPr>
        <w:t>rgumentación</w:t>
      </w:r>
    </w:p>
    <w:p w:rsidR="004E48E2" w:rsidRDefault="004E48E2">
      <w:pPr>
        <w:spacing w:after="120" w:line="240" w:lineRule="auto"/>
        <w:ind w:hanging="2"/>
        <w:rPr>
          <w:rFonts w:ascii="Times New Roman" w:eastAsia="Times New Roman" w:hAnsi="Times New Roman" w:cs="Times New Roman"/>
          <w:b/>
          <w:bCs/>
          <w:sz w:val="24"/>
          <w:szCs w:val="24"/>
        </w:rPr>
      </w:pPr>
    </w:p>
    <w:p w:rsidR="004E48E2" w:rsidRDefault="00C04C74">
      <w:pPr>
        <w:spacing w:after="120" w:line="240" w:lineRule="auto"/>
        <w:ind w:hanging="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5.1. REQUISITOS PARA LA OBTENCIÓN DE LAS DIFERENTES CONDICIONES DE ESTUDIANTE </w:t>
      </w:r>
    </w:p>
    <w:p w:rsidR="004E48E2" w:rsidRDefault="004E48E2">
      <w:pPr>
        <w:spacing w:after="0" w:line="240" w:lineRule="auto"/>
        <w:ind w:firstLine="0"/>
        <w:rPr>
          <w:rFonts w:ascii="Times New Roman" w:eastAsia="Times New Roman" w:hAnsi="Times New Roman" w:cs="Times New Roman"/>
          <w:b/>
          <w:bCs/>
          <w:sz w:val="24"/>
          <w:szCs w:val="24"/>
        </w:rPr>
      </w:pPr>
    </w:p>
    <w:p w:rsidR="004E48E2" w:rsidRDefault="00C04C74">
      <w:pPr>
        <w:spacing w:after="120" w:line="240" w:lineRule="auto"/>
        <w:ind w:hanging="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CONDICIÓN REGULAR:</w:t>
      </w:r>
    </w:p>
    <w:p w:rsidR="004E48E2" w:rsidRDefault="00C04C74">
      <w:pPr>
        <w:spacing w:after="12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Asistencia del 80 % a las clases (teóricas, prácticas y teórico-practicas). </w:t>
      </w:r>
    </w:p>
    <w:p w:rsidR="004E48E2" w:rsidRDefault="00C04C74">
      <w:pPr>
        <w:spacing w:after="12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Aprobación de dos exámenes parciales con 5 (cinco) como nota mínima. Y con posibilidades de  recuperación de cada uno.</w:t>
      </w:r>
    </w:p>
    <w:p w:rsidR="004E48E2" w:rsidRDefault="00C04C74">
      <w:pPr>
        <w:spacing w:after="12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Aprobación del 80% de los trabajos prácticos previstos. Estos trabajos deberán presentarse en las fechas y formas estipuladas, su e</w:t>
      </w:r>
      <w:r>
        <w:rPr>
          <w:rFonts w:ascii="Times New Roman" w:eastAsia="Times New Roman" w:hAnsi="Times New Roman" w:cs="Times New Roman"/>
          <w:sz w:val="24"/>
          <w:szCs w:val="24"/>
        </w:rPr>
        <w:t xml:space="preserve">valuación será formativa, procesual bajo las siguientes modalidades y escalas: </w:t>
      </w:r>
    </w:p>
    <w:p w:rsidR="004E48E2" w:rsidRDefault="00C04C74">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prácticos integradores con 5 (cinco) como nota mínima y con instancias de recuperación en ambos casos.</w:t>
      </w:r>
    </w:p>
    <w:p w:rsidR="004E48E2" w:rsidRDefault="00C04C74">
      <w:pPr>
        <w:numPr>
          <w:ilvl w:val="0"/>
          <w:numId w:val="2"/>
        </w:numPr>
        <w:pBdr>
          <w:top w:val="nil"/>
          <w:left w:val="nil"/>
          <w:bottom w:val="nil"/>
          <w:right w:val="nil"/>
          <w:between w:val="nil"/>
        </w:pBdr>
        <w:spacing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los demás prácticos se evaluarán cualitativamente como: Aprobado, Desap</w:t>
      </w:r>
      <w:r>
        <w:rPr>
          <w:rFonts w:ascii="Times New Roman" w:eastAsia="Times New Roman" w:hAnsi="Times New Roman" w:cs="Times New Roman"/>
          <w:color w:val="000000"/>
          <w:sz w:val="24"/>
          <w:szCs w:val="24"/>
        </w:rPr>
        <w:t xml:space="preserve">robado, Revisar. Entendiéndose a las revisiones como oportunidades de recuperación. </w:t>
      </w:r>
    </w:p>
    <w:p w:rsidR="004E48E2" w:rsidRDefault="00C04C74">
      <w:pPr>
        <w:spacing w:after="12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Examen final con tribunal sobre todo el programa de la asignatura. </w:t>
      </w:r>
    </w:p>
    <w:p w:rsidR="004E48E2" w:rsidRDefault="004E48E2">
      <w:pPr>
        <w:spacing w:after="0" w:line="240" w:lineRule="auto"/>
        <w:ind w:firstLine="0"/>
        <w:jc w:val="both"/>
        <w:rPr>
          <w:rFonts w:ascii="Times New Roman" w:eastAsia="Times New Roman" w:hAnsi="Times New Roman" w:cs="Times New Roman"/>
        </w:rPr>
      </w:pPr>
    </w:p>
    <w:p w:rsidR="004E48E2" w:rsidRDefault="00C04C74">
      <w:pPr>
        <w:spacing w:after="120" w:line="240" w:lineRule="auto"/>
        <w:ind w:hanging="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CONDICIÓN PROMOCIONAL: </w:t>
      </w:r>
    </w:p>
    <w:p w:rsidR="004E48E2" w:rsidRDefault="00C04C74">
      <w:pPr>
        <w:spacing w:after="12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Asistencia del 80 % a las clases (teóricas, prácticas y teórico-practicas). </w:t>
      </w:r>
    </w:p>
    <w:p w:rsidR="004E48E2" w:rsidRDefault="00C04C74">
      <w:pPr>
        <w:spacing w:after="12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Aprobación de dos exámenes parciales con 7 (siete) como nota mínima. </w:t>
      </w:r>
    </w:p>
    <w:p w:rsidR="004E48E2" w:rsidRDefault="00C04C74">
      <w:pPr>
        <w:spacing w:after="12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Aprobación del 80% de los trabajos prácticos previstos. Estos trabajos deberán presentarse en las fe</w:t>
      </w:r>
      <w:r>
        <w:rPr>
          <w:rFonts w:ascii="Times New Roman" w:eastAsia="Times New Roman" w:hAnsi="Times New Roman" w:cs="Times New Roman"/>
          <w:sz w:val="24"/>
          <w:szCs w:val="24"/>
        </w:rPr>
        <w:t xml:space="preserve">chas y formas estipuladas, su evaluación será formativa, procesual bajo las siguientes modalidades y escalas: </w:t>
      </w:r>
    </w:p>
    <w:p w:rsidR="004E48E2" w:rsidRDefault="00C04C74">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2 prácticos integradores con 7 (siete) como nota mínima y con instancias de recuperación en ambos casos, cuando no se registraren calificaciones </w:t>
      </w:r>
      <w:r>
        <w:rPr>
          <w:rFonts w:ascii="Times New Roman" w:eastAsia="Times New Roman" w:hAnsi="Times New Roman" w:cs="Times New Roman"/>
          <w:color w:val="000000"/>
          <w:sz w:val="24"/>
          <w:szCs w:val="24"/>
        </w:rPr>
        <w:t>inferiores a 5 (cinco).</w:t>
      </w:r>
    </w:p>
    <w:p w:rsidR="004E48E2" w:rsidRDefault="00C04C74">
      <w:pPr>
        <w:numPr>
          <w:ilvl w:val="0"/>
          <w:numId w:val="2"/>
        </w:numPr>
        <w:pBdr>
          <w:top w:val="nil"/>
          <w:left w:val="nil"/>
          <w:bottom w:val="nil"/>
          <w:right w:val="nil"/>
          <w:between w:val="nil"/>
        </w:pBdr>
        <w:spacing w:after="0" w:line="240" w:lineRule="auto"/>
        <w:ind w:left="709"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los demás prácticos se evaluarán cualitativamente como: Aprobado, Desaprobado,    Revisar. Entendiéndose a las revisiones como oportunidades de recuperación </w:t>
      </w:r>
    </w:p>
    <w:p w:rsidR="004E48E2" w:rsidRDefault="004E48E2">
      <w:pPr>
        <w:pBdr>
          <w:top w:val="nil"/>
          <w:left w:val="nil"/>
          <w:bottom w:val="nil"/>
          <w:right w:val="nil"/>
          <w:between w:val="nil"/>
        </w:pBdr>
        <w:spacing w:after="0" w:line="240" w:lineRule="auto"/>
        <w:ind w:left="709" w:firstLine="0"/>
        <w:jc w:val="both"/>
        <w:rPr>
          <w:rFonts w:ascii="Times New Roman" w:eastAsia="Times New Roman" w:hAnsi="Times New Roman" w:cs="Times New Roman"/>
          <w:color w:val="000000"/>
          <w:sz w:val="24"/>
          <w:szCs w:val="24"/>
        </w:rPr>
      </w:pPr>
    </w:p>
    <w:p w:rsidR="004E48E2" w:rsidRDefault="00C04C74">
      <w:pPr>
        <w:pBdr>
          <w:top w:val="nil"/>
          <w:left w:val="nil"/>
          <w:bottom w:val="nil"/>
          <w:right w:val="nil"/>
          <w:between w:val="nil"/>
        </w:pBdr>
        <w:tabs>
          <w:tab w:val="left" w:pos="0"/>
        </w:tabs>
        <w:spacing w:after="120" w:line="240" w:lineRule="auto"/>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Coloquio final: sobre algunos ejes del programa.  </w:t>
      </w:r>
    </w:p>
    <w:p w:rsidR="004E48E2" w:rsidRDefault="004E48E2">
      <w:pPr>
        <w:spacing w:after="120" w:line="240" w:lineRule="auto"/>
        <w:ind w:hanging="2"/>
        <w:rPr>
          <w:rFonts w:ascii="Times New Roman" w:eastAsia="Times New Roman" w:hAnsi="Times New Roman" w:cs="Times New Roman"/>
          <w:sz w:val="24"/>
          <w:szCs w:val="24"/>
        </w:rPr>
      </w:pPr>
    </w:p>
    <w:p w:rsidR="004E48E2" w:rsidRDefault="00C04C74">
      <w:pPr>
        <w:spacing w:after="12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ALUMNO LIBRE: </w:t>
      </w:r>
      <w:r>
        <w:rPr>
          <w:rFonts w:ascii="Times New Roman" w:eastAsia="Times New Roman" w:hAnsi="Times New Roman" w:cs="Times New Roman"/>
          <w:sz w:val="24"/>
          <w:szCs w:val="24"/>
        </w:rPr>
        <w:t>debe rendir un examen final sobre todo el programa vigente. El examen se compone de dos instancias, una escrita y una oral. La aprobación del escrito habilita la instancia oral.</w:t>
      </w:r>
      <w:r>
        <w:rPr>
          <w:rFonts w:ascii="Times New Roman" w:eastAsia="Times New Roman" w:hAnsi="Times New Roman" w:cs="Times New Roman"/>
          <w:b/>
          <w:bCs/>
          <w:sz w:val="24"/>
          <w:szCs w:val="24"/>
        </w:rPr>
        <w:t> </w:t>
      </w:r>
    </w:p>
    <w:p w:rsidR="004E48E2" w:rsidRDefault="004E48E2">
      <w:pPr>
        <w:spacing w:after="120" w:line="240" w:lineRule="auto"/>
        <w:ind w:hanging="2"/>
        <w:rPr>
          <w:rFonts w:ascii="Times New Roman" w:eastAsia="Times New Roman" w:hAnsi="Times New Roman" w:cs="Times New Roman"/>
          <w:b/>
          <w:bCs/>
          <w:sz w:val="24"/>
          <w:szCs w:val="24"/>
        </w:rPr>
      </w:pPr>
      <w:bookmarkStart w:id="7" w:name="_heading=h.7nkmg9uzuvvq" w:colFirst="0" w:colLast="0"/>
      <w:bookmarkEnd w:id="7"/>
    </w:p>
    <w:p w:rsidR="004E48E2" w:rsidRDefault="00C04C74">
      <w:pPr>
        <w:spacing w:line="240" w:lineRule="auto"/>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6. BIBLIOGRAFÍA   </w:t>
      </w:r>
    </w:p>
    <w:p w:rsidR="004E48E2" w:rsidRDefault="00C04C74">
      <w:pPr>
        <w:spacing w:line="240" w:lineRule="auto"/>
        <w:ind w:hanging="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6.1. BIBLIOGRAFIA OBLIGATORIA </w:t>
      </w:r>
    </w:p>
    <w:p w:rsidR="004E48E2" w:rsidRDefault="00C04C74">
      <w:pPr>
        <w:tabs>
          <w:tab w:val="left" w:pos="0"/>
        </w:tabs>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UNIDAD 1: </w:t>
      </w:r>
    </w:p>
    <w:p w:rsidR="004E48E2" w:rsidRDefault="004E48E2">
      <w:pPr>
        <w:tabs>
          <w:tab w:val="left" w:pos="0"/>
        </w:tabs>
        <w:spacing w:after="0" w:line="240" w:lineRule="auto"/>
        <w:ind w:hanging="2"/>
        <w:jc w:val="both"/>
        <w:rPr>
          <w:rFonts w:ascii="Times New Roman" w:eastAsia="Times New Roman" w:hAnsi="Times New Roman" w:cs="Times New Roman"/>
          <w:sz w:val="24"/>
          <w:szCs w:val="24"/>
        </w:rPr>
      </w:pPr>
    </w:p>
    <w:p w:rsidR="004E48E2" w:rsidRDefault="00C04C74">
      <w:pPr>
        <w:tabs>
          <w:tab w:val="left" w:pos="0"/>
        </w:tabs>
        <w:spacing w:after="120" w:line="24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ADAMOVSKY, E. </w:t>
      </w:r>
      <w:r>
        <w:rPr>
          <w:rFonts w:ascii="Times New Roman" w:eastAsia="Times New Roman" w:hAnsi="Times New Roman" w:cs="Times New Roman"/>
          <w:sz w:val="24"/>
          <w:szCs w:val="24"/>
        </w:rPr>
        <w:t>“Historia, divulgación y valoración del pasado: acerca de ciertos prejuicios académicos que condenan a la historiografía al aislamiento”, revista Nuevo Topo (Argentina), no. 8, sept.- octubre 2011, pp. 91-106.</w:t>
      </w:r>
    </w:p>
    <w:p w:rsidR="004E48E2" w:rsidRDefault="00C04C74">
      <w:pPr>
        <w:tabs>
          <w:tab w:val="left" w:pos="0"/>
        </w:tabs>
        <w:spacing w:after="120" w:line="24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ARÓSTEGUI, J (2001) [1995] “Historia e histori</w:t>
      </w:r>
      <w:r>
        <w:rPr>
          <w:rFonts w:ascii="Times New Roman" w:eastAsia="Times New Roman" w:hAnsi="Times New Roman" w:cs="Times New Roman"/>
          <w:sz w:val="24"/>
          <w:szCs w:val="24"/>
        </w:rPr>
        <w:t>ografía: los fundamentos”. Primera sección: Teoría, Historia e historiografía. En ARÓSTEGUI, J La investigación histórica: teoría y método.</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Crítica, Madrid. </w:t>
      </w:r>
    </w:p>
    <w:p w:rsidR="004E48E2" w:rsidRDefault="00C04C74">
      <w:pPr>
        <w:spacing w:after="12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CARBONARI, M. (2020) “Historia Concepto Polisémico”. Documento de trabajo cátedra Introducción a l</w:t>
      </w:r>
      <w:r>
        <w:rPr>
          <w:rFonts w:ascii="Times New Roman" w:eastAsia="Times New Roman" w:hAnsi="Times New Roman" w:cs="Times New Roman"/>
          <w:sz w:val="24"/>
          <w:szCs w:val="24"/>
        </w:rPr>
        <w:t xml:space="preserve">a Historia y a las Ciencias Sociales (6680). Dpto de Historia. UNRC. Disponible en: https://drive.google.com/file/d/1Qlzd7fVqDjuCaZD1v89OSNj7NubNOK4Z/view ?usp=share_link </w:t>
      </w:r>
    </w:p>
    <w:p w:rsidR="004E48E2" w:rsidRDefault="00C04C74">
      <w:pPr>
        <w:spacing w:after="12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CATTARUZZA, A; BELVEDRESI, R y PALTI, ¿E (2010) “Panel Inaugural ciclo Historia para</w:t>
      </w:r>
      <w:r>
        <w:rPr>
          <w:rFonts w:ascii="Times New Roman" w:eastAsia="Times New Roman" w:hAnsi="Times New Roman" w:cs="Times New Roman"/>
          <w:sz w:val="24"/>
          <w:szCs w:val="24"/>
        </w:rPr>
        <w:t xml:space="preserve"> qué?” En CERNADAS, J y LVOVICH, D (2010) (editores) Historia, ¿para qué? Revisitas a una vieja pregunta. Prometeo. Bs. As. pp 25-45. Disponible en: https://drive.google.com/file/d/1jDtIrbutf8dvxasnDPwEV6SshE9_mAZe/view?u sp=share_link</w:t>
      </w:r>
    </w:p>
    <w:p w:rsidR="004E48E2" w:rsidRDefault="00C04C74">
      <w:pPr>
        <w:tabs>
          <w:tab w:val="left" w:pos="0"/>
        </w:tabs>
        <w:spacing w:after="12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FLORESCANO, E (2013). La función social de la Historia. F.C.E México</w:t>
      </w:r>
    </w:p>
    <w:p w:rsidR="004E48E2" w:rsidRDefault="00C04C74">
      <w:pPr>
        <w:spacing w:after="12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FONTANA</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J (2006) ¿Qué Historia para el Siglo XX?</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 En Analecta: Revista de Humanidades, Nº 1 (p, 1 -12)</w:t>
      </w:r>
    </w:p>
    <w:p w:rsidR="004E48E2" w:rsidRDefault="00C04C74">
      <w:pPr>
        <w:spacing w:after="12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GONZÁLEZ, L (2005) “De la múltiple utilización de la Historia”. En Pereyra, C (2005</w:t>
      </w:r>
      <w:r>
        <w:rPr>
          <w:rFonts w:ascii="Times New Roman" w:eastAsia="Times New Roman" w:hAnsi="Times New Roman" w:cs="Times New Roman"/>
          <w:sz w:val="24"/>
          <w:szCs w:val="24"/>
        </w:rPr>
        <w:t xml:space="preserve">) Historia ¿Para qué? S. XXI. México [1980] pp.54-74. Disponible en: </w:t>
      </w:r>
      <w:hyperlink r:id="rId8">
        <w:r>
          <w:rPr>
            <w:rFonts w:ascii="Times New Roman" w:eastAsia="Times New Roman" w:hAnsi="Times New Roman" w:cs="Times New Roman"/>
            <w:color w:val="0000FF"/>
            <w:sz w:val="24"/>
            <w:szCs w:val="24"/>
            <w:u w:val="single"/>
          </w:rPr>
          <w:t>https://drive.google.com/file/d/1nWAthwN3OYrHdvOXlrEl7FiPkYwwXWM/view?usp=share_link</w:t>
        </w:r>
      </w:hyperlink>
    </w:p>
    <w:p w:rsidR="004E48E2" w:rsidRDefault="00C04C74">
      <w:pPr>
        <w:spacing w:after="12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PEREYRA, C. (2005) ¿Historia Para qué? S. XXI. México [1980] pp.11-28. Disponible en: </w:t>
      </w:r>
      <w:hyperlink r:id="rId9">
        <w:r>
          <w:rPr>
            <w:rFonts w:ascii="Times New Roman" w:eastAsia="Times New Roman" w:hAnsi="Times New Roman" w:cs="Times New Roman"/>
            <w:color w:val="0000FF"/>
            <w:sz w:val="24"/>
            <w:szCs w:val="24"/>
            <w:u w:val="single"/>
          </w:rPr>
          <w:t>https://drive.google.com/file/d/1SVabN-b3npBPFIp6QP4vedtTx_jl203/view?usp=share_link</w:t>
        </w:r>
      </w:hyperlink>
    </w:p>
    <w:p w:rsidR="004E48E2" w:rsidRDefault="00C04C74">
      <w:pPr>
        <w:spacing w:before="240" w:after="0" w:line="36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WAGNER, D. Los archivos y los museos como dispositivos para la educación patrimonial. Revista Sociedades de Paisajes Áridos y Semi-Áridos, Año XV Volume</w:t>
      </w:r>
      <w:r>
        <w:rPr>
          <w:rFonts w:ascii="Times New Roman" w:eastAsia="Times New Roman" w:hAnsi="Times New Roman" w:cs="Times New Roman"/>
          <w:sz w:val="24"/>
          <w:szCs w:val="24"/>
        </w:rPr>
        <w:t>n XXI, Septiembre 2025: Pp. 112 – 136. En línea desde Septiembre 2025</w:t>
      </w:r>
    </w:p>
    <w:p w:rsidR="004E48E2" w:rsidRDefault="004E48E2">
      <w:pPr>
        <w:spacing w:after="120" w:line="240" w:lineRule="auto"/>
        <w:ind w:hanging="2"/>
        <w:rPr>
          <w:rFonts w:ascii="Times New Roman" w:eastAsia="Times New Roman" w:hAnsi="Times New Roman" w:cs="Times New Roman"/>
          <w:sz w:val="24"/>
          <w:szCs w:val="24"/>
        </w:rPr>
      </w:pPr>
    </w:p>
    <w:p w:rsidR="004E48E2" w:rsidRDefault="00C04C74">
      <w:pPr>
        <w:spacing w:line="240" w:lineRule="auto"/>
        <w:ind w:hanging="2"/>
        <w:rPr>
          <w:rFonts w:ascii="Times New Roman" w:eastAsia="Times New Roman" w:hAnsi="Times New Roman" w:cs="Times New Roman"/>
          <w:sz w:val="24"/>
          <w:szCs w:val="24"/>
        </w:rPr>
      </w:pPr>
      <w:bookmarkStart w:id="8" w:name="bookmark=id.1t3h5sf" w:colFirst="0" w:colLast="0"/>
      <w:bookmarkEnd w:id="8"/>
      <w:r>
        <w:rPr>
          <w:rFonts w:ascii="Times New Roman" w:eastAsia="Times New Roman" w:hAnsi="Times New Roman" w:cs="Times New Roman"/>
          <w:b/>
          <w:bCs/>
          <w:sz w:val="24"/>
          <w:szCs w:val="24"/>
        </w:rPr>
        <w:t xml:space="preserve">UNIDAD 2: </w:t>
      </w:r>
    </w:p>
    <w:p w:rsidR="004E48E2" w:rsidRDefault="00C04C74">
      <w:pPr>
        <w:spacing w:after="120" w:line="240" w:lineRule="auto"/>
        <w:ind w:firstLine="0"/>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FLORESCANO, E. (2013). “El redescubrimiento de la narrativa oral y su impacto en la reconstrucción del pasado” (pp. 102-120); “Mito, rito e historia” (pp.121-134) En FLORESCA</w:t>
      </w:r>
      <w:r>
        <w:rPr>
          <w:rFonts w:ascii="Times New Roman" w:eastAsia="Times New Roman" w:hAnsi="Times New Roman" w:cs="Times New Roman"/>
          <w:sz w:val="24"/>
          <w:szCs w:val="24"/>
        </w:rPr>
        <w:t>NO, E (20013) La función social de la Historia. F.C.E México</w:t>
      </w:r>
    </w:p>
    <w:p w:rsidR="004E48E2" w:rsidRDefault="00C04C74">
      <w:pPr>
        <w:tabs>
          <w:tab w:val="left" w:pos="0"/>
        </w:tabs>
        <w:spacing w:after="120" w:line="240" w:lineRule="auto"/>
        <w:ind w:left="2"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FONTANA, J (2001)</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“Renacimiento y renovación de la Historia”  (Cap. 3: pp.63-79); “La ilustración” (Cap. 4: pp.81-106). En FONTANA, J (2001) La Historia de los Hombres.</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Crítica. Barcelona</w:t>
      </w:r>
    </w:p>
    <w:p w:rsidR="004E48E2" w:rsidRDefault="00C04C74">
      <w:pPr>
        <w:spacing w:after="120" w:line="240" w:lineRule="auto"/>
        <w:ind w:firstLine="0"/>
        <w:jc w:val="both"/>
        <w:rPr>
          <w:rFonts w:ascii="Times New Roman" w:eastAsia="Times New Roman" w:hAnsi="Times New Roman" w:cs="Times New Roman"/>
          <w:color w:val="FF0000"/>
          <w:sz w:val="24"/>
          <w:szCs w:val="24"/>
          <w:highlight w:val="yellow"/>
        </w:rPr>
      </w:pPr>
      <w:r>
        <w:rPr>
          <w:rFonts w:ascii="Times New Roman" w:eastAsia="Times New Roman" w:hAnsi="Times New Roman" w:cs="Times New Roman"/>
          <w:sz w:val="24"/>
          <w:szCs w:val="24"/>
        </w:rPr>
        <w:t>MORADIE</w:t>
      </w:r>
      <w:r>
        <w:rPr>
          <w:rFonts w:ascii="Times New Roman" w:eastAsia="Times New Roman" w:hAnsi="Times New Roman" w:cs="Times New Roman"/>
          <w:sz w:val="24"/>
          <w:szCs w:val="24"/>
        </w:rPr>
        <w:t>LLOS, E (2001) “Tucídides no es nuestro colega: el origen y evolución de la historiografía  como género literario particular” (Cap.4: pp 85-148) En MORADIELLOS, E (2001) Las caras de Clio</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Siglo XXI. Madrid.</w:t>
      </w:r>
    </w:p>
    <w:p w:rsidR="004E48E2" w:rsidRDefault="00C04C74">
      <w:pPr>
        <w:pBdr>
          <w:top w:val="nil"/>
          <w:left w:val="nil"/>
          <w:bottom w:val="nil"/>
          <w:right w:val="nil"/>
          <w:between w:val="nil"/>
        </w:pBdr>
        <w:spacing w:after="0"/>
        <w:ind w:hanging="2"/>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Fuentes:</w:t>
      </w:r>
      <w:r>
        <w:rPr>
          <w:rFonts w:ascii="Times New Roman" w:eastAsia="Times New Roman" w:hAnsi="Times New Roman" w:cs="Times New Roman"/>
          <w:b/>
          <w:bCs/>
          <w:i/>
          <w:iCs/>
          <w:color w:val="000000"/>
          <w:sz w:val="24"/>
          <w:szCs w:val="24"/>
        </w:rPr>
        <w:t xml:space="preserve"> </w:t>
      </w:r>
    </w:p>
    <w:p w:rsidR="004E48E2" w:rsidRDefault="00C04C74">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HERÓDOTO.</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i/>
          <w:iCs/>
          <w:color w:val="000000"/>
          <w:sz w:val="24"/>
          <w:szCs w:val="24"/>
        </w:rPr>
        <w:t xml:space="preserve">Historias, </w:t>
      </w:r>
      <w:r>
        <w:rPr>
          <w:rFonts w:ascii="Times New Roman" w:eastAsia="Times New Roman" w:hAnsi="Times New Roman" w:cs="Times New Roman"/>
          <w:color w:val="000000"/>
          <w:sz w:val="24"/>
          <w:szCs w:val="24"/>
        </w:rPr>
        <w:t xml:space="preserve">Libro I (fragmento); </w:t>
      </w:r>
    </w:p>
    <w:p w:rsidR="004E48E2" w:rsidRDefault="00C04C74">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TUCÍDIDES</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i/>
          <w:iCs/>
          <w:color w:val="000000"/>
          <w:sz w:val="24"/>
          <w:szCs w:val="24"/>
        </w:rPr>
        <w:t>Historia de la Guerra del Peloponeso,</w:t>
      </w:r>
      <w:r>
        <w:rPr>
          <w:rFonts w:ascii="Times New Roman" w:eastAsia="Times New Roman" w:hAnsi="Times New Roman" w:cs="Times New Roman"/>
          <w:color w:val="000000"/>
          <w:sz w:val="24"/>
          <w:szCs w:val="24"/>
        </w:rPr>
        <w:t xml:space="preserve"> Libro I (fragmento), </w:t>
      </w:r>
    </w:p>
    <w:p w:rsidR="004E48E2" w:rsidRDefault="00C04C74">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TITO LIVIO. </w:t>
      </w:r>
      <w:r>
        <w:rPr>
          <w:rFonts w:ascii="Times New Roman" w:eastAsia="Times New Roman" w:hAnsi="Times New Roman" w:cs="Times New Roman"/>
          <w:i/>
          <w:iCs/>
          <w:color w:val="000000"/>
          <w:sz w:val="24"/>
          <w:szCs w:val="24"/>
        </w:rPr>
        <w:t>Historia Romana.</w:t>
      </w:r>
      <w:r>
        <w:rPr>
          <w:rFonts w:ascii="Times New Roman" w:eastAsia="Times New Roman" w:hAnsi="Times New Roman" w:cs="Times New Roman"/>
          <w:color w:val="000000"/>
          <w:sz w:val="24"/>
          <w:szCs w:val="24"/>
        </w:rPr>
        <w:t xml:space="preserve"> (Prólogo) Extraídas de SANCHEZ MARCOS, Fernando. (1993) Invitación a la Historia.</w:t>
      </w:r>
      <w:r>
        <w:rPr>
          <w:rFonts w:ascii="Times New Roman" w:eastAsia="Times New Roman" w:hAnsi="Times New Roman" w:cs="Times New Roman"/>
          <w:color w:val="000000"/>
          <w:sz w:val="24"/>
          <w:szCs w:val="24"/>
          <w:u w:val="single"/>
        </w:rPr>
        <w:t xml:space="preserve"> </w:t>
      </w:r>
      <w:r>
        <w:rPr>
          <w:rFonts w:ascii="Times New Roman" w:eastAsia="Times New Roman" w:hAnsi="Times New Roman" w:cs="Times New Roman"/>
          <w:color w:val="000000"/>
          <w:sz w:val="24"/>
          <w:szCs w:val="24"/>
        </w:rPr>
        <w:t xml:space="preserve">La Historiografía, de Heródoto a Voltaire, a través </w:t>
      </w:r>
      <w:r>
        <w:rPr>
          <w:rFonts w:ascii="Times New Roman" w:eastAsia="Times New Roman" w:hAnsi="Times New Roman" w:cs="Times New Roman"/>
          <w:color w:val="000000"/>
          <w:sz w:val="24"/>
          <w:szCs w:val="24"/>
        </w:rPr>
        <w:t xml:space="preserve">de sus textos. Ed. Labor. Barcelona. 2ª edición. </w:t>
      </w:r>
    </w:p>
    <w:p w:rsidR="004E48E2" w:rsidRDefault="00C04C74">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SAN AGUSTÍN. </w:t>
      </w:r>
      <w:r>
        <w:rPr>
          <w:rFonts w:ascii="Times New Roman" w:eastAsia="Times New Roman" w:hAnsi="Times New Roman" w:cs="Times New Roman"/>
          <w:i/>
          <w:iCs/>
          <w:color w:val="000000"/>
          <w:sz w:val="24"/>
          <w:szCs w:val="24"/>
        </w:rPr>
        <w:t>De la eterna felicidad y bienaventuranza de la Ciudad de Dios, del sábado y descanso perpetuo</w:t>
      </w:r>
      <w:r>
        <w:rPr>
          <w:rFonts w:ascii="Times New Roman" w:eastAsia="Times New Roman" w:hAnsi="Times New Roman" w:cs="Times New Roman"/>
          <w:color w:val="000000"/>
          <w:sz w:val="24"/>
          <w:szCs w:val="24"/>
        </w:rPr>
        <w:t>. Cap. 30 En  La Ciudad de Dios</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libro XXII. Comillas, Universidad Pontificia, 1929,  pp. 1154-1158.</w:t>
      </w:r>
    </w:p>
    <w:p w:rsidR="004E48E2" w:rsidRDefault="004E48E2">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rsidR="004E48E2" w:rsidRDefault="00C04C74">
      <w:pPr>
        <w:pBdr>
          <w:top w:val="nil"/>
          <w:left w:val="nil"/>
          <w:bottom w:val="nil"/>
          <w:right w:val="nil"/>
          <w:between w:val="nil"/>
        </w:pBdr>
        <w:spacing w:line="240" w:lineRule="auto"/>
        <w:ind w:hanging="2"/>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Fuentes: S XV- XVIII</w:t>
      </w:r>
    </w:p>
    <w:p w:rsidR="004E48E2" w:rsidRDefault="00C04C74">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MAQUIAVELO, N. </w:t>
      </w:r>
      <w:r>
        <w:rPr>
          <w:rFonts w:ascii="Times New Roman" w:eastAsia="Times New Roman" w:hAnsi="Times New Roman" w:cs="Times New Roman"/>
          <w:i/>
          <w:iCs/>
          <w:color w:val="000000"/>
          <w:sz w:val="24"/>
          <w:szCs w:val="24"/>
        </w:rPr>
        <w:t>El Príncipe</w:t>
      </w:r>
      <w:r>
        <w:rPr>
          <w:rFonts w:ascii="Times New Roman" w:eastAsia="Times New Roman" w:hAnsi="Times New Roman" w:cs="Times New Roman"/>
          <w:color w:val="000000"/>
          <w:sz w:val="24"/>
          <w:szCs w:val="24"/>
        </w:rPr>
        <w:t xml:space="preserve">. Cap. XVIII (fragmento); </w:t>
      </w:r>
    </w:p>
    <w:p w:rsidR="004E48E2" w:rsidRDefault="00C04C74">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BOSSUET, J. </w:t>
      </w:r>
      <w:r>
        <w:rPr>
          <w:rFonts w:ascii="Times New Roman" w:eastAsia="Times New Roman" w:hAnsi="Times New Roman" w:cs="Times New Roman"/>
          <w:i/>
          <w:iCs/>
          <w:color w:val="000000"/>
          <w:sz w:val="24"/>
          <w:szCs w:val="24"/>
        </w:rPr>
        <w:t xml:space="preserve">Discurso sobre la Historia Universal. </w:t>
      </w:r>
      <w:r>
        <w:rPr>
          <w:rFonts w:ascii="Times New Roman" w:eastAsia="Times New Roman" w:hAnsi="Times New Roman" w:cs="Times New Roman"/>
          <w:color w:val="000000"/>
          <w:sz w:val="24"/>
          <w:szCs w:val="24"/>
        </w:rPr>
        <w:t xml:space="preserve">Tercera parte, cap. I (Fragmento); </w:t>
      </w:r>
    </w:p>
    <w:p w:rsidR="004E48E2" w:rsidRDefault="00C04C74">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BODIN, J. </w:t>
      </w:r>
      <w:r>
        <w:rPr>
          <w:rFonts w:ascii="Times New Roman" w:eastAsia="Times New Roman" w:hAnsi="Times New Roman" w:cs="Times New Roman"/>
          <w:i/>
          <w:iCs/>
          <w:color w:val="000000"/>
          <w:sz w:val="24"/>
          <w:szCs w:val="24"/>
        </w:rPr>
        <w:t xml:space="preserve">EL método de la Historia. </w:t>
      </w:r>
      <w:r>
        <w:rPr>
          <w:rFonts w:ascii="Times New Roman" w:eastAsia="Times New Roman" w:hAnsi="Times New Roman" w:cs="Times New Roman"/>
          <w:color w:val="000000"/>
          <w:sz w:val="24"/>
          <w:szCs w:val="24"/>
        </w:rPr>
        <w:t>Cap. VII (fragmento).</w:t>
      </w:r>
    </w:p>
    <w:p w:rsidR="004E48E2" w:rsidRDefault="00C04C74">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MONTESQUIEU. </w:t>
      </w:r>
      <w:r>
        <w:rPr>
          <w:rFonts w:ascii="Times New Roman" w:eastAsia="Times New Roman" w:hAnsi="Times New Roman" w:cs="Times New Roman"/>
          <w:i/>
          <w:iCs/>
          <w:color w:val="000000"/>
          <w:sz w:val="24"/>
          <w:szCs w:val="24"/>
        </w:rPr>
        <w:t>El Espíritu de las Leye</w:t>
      </w:r>
      <w:r>
        <w:rPr>
          <w:rFonts w:ascii="Times New Roman" w:eastAsia="Times New Roman" w:hAnsi="Times New Roman" w:cs="Times New Roman"/>
          <w:i/>
          <w:iCs/>
          <w:color w:val="000000"/>
          <w:sz w:val="24"/>
          <w:szCs w:val="24"/>
        </w:rPr>
        <w:t>s.</w:t>
      </w:r>
      <w:r>
        <w:rPr>
          <w:rFonts w:ascii="Times New Roman" w:eastAsia="Times New Roman" w:hAnsi="Times New Roman" w:cs="Times New Roman"/>
          <w:color w:val="000000"/>
          <w:sz w:val="24"/>
          <w:szCs w:val="24"/>
        </w:rPr>
        <w:t xml:space="preserve"> Libro XVII, Cap. I-III y VI-VIII (fragmentos); </w:t>
      </w:r>
    </w:p>
    <w:p w:rsidR="004E48E2" w:rsidRDefault="00C04C74">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VOLTAIRE. </w:t>
      </w:r>
      <w:r>
        <w:rPr>
          <w:rFonts w:ascii="Times New Roman" w:eastAsia="Times New Roman" w:hAnsi="Times New Roman" w:cs="Times New Roman"/>
          <w:i/>
          <w:iCs/>
          <w:color w:val="000000"/>
          <w:sz w:val="24"/>
          <w:szCs w:val="24"/>
        </w:rPr>
        <w:t>Ensayo sobre las costumbres y el espíritu de las naciones.</w:t>
      </w:r>
      <w:r>
        <w:rPr>
          <w:rFonts w:ascii="Times New Roman" w:eastAsia="Times New Roman" w:hAnsi="Times New Roman" w:cs="Times New Roman"/>
          <w:color w:val="000000"/>
          <w:sz w:val="24"/>
          <w:szCs w:val="24"/>
        </w:rPr>
        <w:t xml:space="preserve"> (pp. 218-219). Extraídas de  SANCHEZ M ARCOS, Fernando. (1993) </w:t>
      </w:r>
      <w:r>
        <w:rPr>
          <w:rFonts w:ascii="Times New Roman" w:eastAsia="Times New Roman" w:hAnsi="Times New Roman" w:cs="Times New Roman"/>
          <w:color w:val="000000"/>
          <w:sz w:val="24"/>
          <w:szCs w:val="24"/>
          <w:u w:val="single"/>
        </w:rPr>
        <w:t xml:space="preserve">Invitación a la Historia. </w:t>
      </w:r>
      <w:r>
        <w:rPr>
          <w:rFonts w:ascii="Times New Roman" w:eastAsia="Times New Roman" w:hAnsi="Times New Roman" w:cs="Times New Roman"/>
          <w:color w:val="000000"/>
          <w:sz w:val="24"/>
          <w:szCs w:val="24"/>
        </w:rPr>
        <w:t>La Historiografía, de Heródoto a Voltaire, a través de sus textos. Ed. Labor. Barcelona. 2ª edición.</w:t>
      </w:r>
    </w:p>
    <w:p w:rsidR="004E48E2" w:rsidRDefault="004E48E2">
      <w:pPr>
        <w:spacing w:after="0" w:line="240" w:lineRule="auto"/>
        <w:ind w:hanging="2"/>
        <w:jc w:val="both"/>
        <w:rPr>
          <w:rFonts w:ascii="Times New Roman" w:eastAsia="Times New Roman" w:hAnsi="Times New Roman" w:cs="Times New Roman"/>
          <w:sz w:val="24"/>
          <w:szCs w:val="24"/>
        </w:rPr>
      </w:pPr>
    </w:p>
    <w:p w:rsidR="004E48E2" w:rsidRDefault="00C04C74">
      <w:pP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UNIDAD 3:</w:t>
      </w:r>
    </w:p>
    <w:p w:rsidR="004E48E2" w:rsidRDefault="004E48E2">
      <w:pPr>
        <w:spacing w:after="0" w:line="240" w:lineRule="auto"/>
        <w:ind w:firstLine="0"/>
        <w:jc w:val="both"/>
        <w:rPr>
          <w:rFonts w:ascii="Times New Roman" w:eastAsia="Times New Roman" w:hAnsi="Times New Roman" w:cs="Times New Roman"/>
          <w:sz w:val="16"/>
          <w:szCs w:val="16"/>
        </w:rPr>
      </w:pPr>
    </w:p>
    <w:p w:rsidR="004E48E2" w:rsidRDefault="00C04C74">
      <w:pPr>
        <w:spacing w:after="12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ADAMOVSKY, E (2012) El color de la nación argentina: conflictos y negociaciones por la definición de un ethnos nacional, de la crisis al Bicent</w:t>
      </w:r>
      <w:r>
        <w:rPr>
          <w:rFonts w:ascii="Times New Roman" w:eastAsia="Times New Roman" w:hAnsi="Times New Roman" w:cs="Times New Roman"/>
          <w:sz w:val="24"/>
          <w:szCs w:val="24"/>
        </w:rPr>
        <w:t xml:space="preserve">enario. De Gruyter; Jahrbuch für Geschichte Lateinamerikas ; 49; 1; 12-2012; 343-364 </w:t>
      </w:r>
    </w:p>
    <w:p w:rsidR="004E48E2" w:rsidRDefault="00C04C74">
      <w:pPr>
        <w:spacing w:after="12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AROSTEGUI, Julio. (2001) [1995] “El nacimiento y desarrollo de la historiografía: los grandes paradigmas”. Primera sección: Teoría, Historia e historiografía (pp.74-105) </w:t>
      </w:r>
      <w:r>
        <w:rPr>
          <w:rFonts w:ascii="Times New Roman" w:eastAsia="Times New Roman" w:hAnsi="Times New Roman" w:cs="Times New Roman"/>
          <w:sz w:val="24"/>
          <w:szCs w:val="24"/>
        </w:rPr>
        <w:t xml:space="preserve">En ARÓSTEGUI, J (2001) La investigación histórica: Teoría y Método. Crítica. Madrid. </w:t>
      </w:r>
    </w:p>
    <w:p w:rsidR="004E48E2" w:rsidRDefault="00C04C74">
      <w:pPr>
        <w:spacing w:after="12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AGUIRRE ROJAS, C (2005) “En los orígenes de la historia crítica” (Cap.3) En Aguirre Rojas (2005) Antimanual del mal historiador. ¿O cómo hacer hoy una buena historia crít</w:t>
      </w:r>
      <w:r>
        <w:rPr>
          <w:rFonts w:ascii="Times New Roman" w:eastAsia="Times New Roman" w:hAnsi="Times New Roman" w:cs="Times New Roman"/>
          <w:sz w:val="24"/>
          <w:szCs w:val="24"/>
        </w:rPr>
        <w:t>ica? Contrahistoria. México</w:t>
      </w:r>
    </w:p>
    <w:p w:rsidR="004E48E2" w:rsidRDefault="00C04C74">
      <w:pPr>
        <w:pBdr>
          <w:top w:val="nil"/>
          <w:left w:val="nil"/>
          <w:bottom w:val="nil"/>
          <w:right w:val="nil"/>
          <w:between w:val="nil"/>
        </w:pBdr>
        <w:spacing w:after="120" w:line="240" w:lineRule="auto"/>
        <w:ind w:hanging="2"/>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FONTANA, Josep. (2001) “Marx y el materialismo histórico” (Cap. 7, pp. 149 -164)</w:t>
      </w:r>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En FONTANA, J (2001) La Historia de los Hombres.</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xml:space="preserve">Crítica. Barcelona </w:t>
      </w:r>
    </w:p>
    <w:p w:rsidR="004E48E2" w:rsidRDefault="00C04C74">
      <w:pPr>
        <w:spacing w:after="120" w:line="24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HOBSBAWM, Eric  (1991)  Introducción.  Naciones  y  nacionalismos desde  1780.</w:t>
      </w:r>
      <w:r>
        <w:rPr>
          <w:rFonts w:ascii="Times New Roman" w:eastAsia="Times New Roman" w:hAnsi="Times New Roman" w:cs="Times New Roman"/>
          <w:sz w:val="24"/>
          <w:szCs w:val="24"/>
        </w:rPr>
        <w:t xml:space="preserve"> Barcelona: Crítica, pp. 9-21. </w:t>
      </w:r>
    </w:p>
    <w:p w:rsidR="004E48E2" w:rsidRDefault="00C04C74">
      <w:pPr>
        <w:spacing w:after="120" w:line="240" w:lineRule="auto"/>
        <w:ind w:firstLine="0"/>
        <w:jc w:val="both"/>
        <w:rPr>
          <w:rFonts w:ascii="Times New Roman" w:eastAsia="Times New Roman" w:hAnsi="Times New Roman" w:cs="Times New Roman"/>
          <w:color w:val="4F81BD"/>
          <w:highlight w:val="yellow"/>
        </w:rPr>
      </w:pPr>
      <w:r>
        <w:rPr>
          <w:rFonts w:ascii="Times New Roman" w:eastAsia="Times New Roman" w:hAnsi="Times New Roman" w:cs="Times New Roman"/>
        </w:rPr>
        <w:t>HOBSBAWM, E.(1996) “Marx y la Historia” en Cuadernos políticos, Nº 48, octubre / diciembre 1986. pp. 73-81</w:t>
      </w:r>
    </w:p>
    <w:p w:rsidR="004E48E2" w:rsidRDefault="00C04C74">
      <w:pPr>
        <w:spacing w:after="120" w:line="240" w:lineRule="auto"/>
        <w:ind w:firstLine="0"/>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MORADIELLOS, E. (2009) “A la sombra de Ranke: la cristalización de las ciencias históricas en el siglo XIX” (Cap. 5: Pp. 151-178) En MORADIELLOS, E (2009) Las caras de Clío. Una introducción a la historia. Siglo XXI. Madrid</w:t>
      </w:r>
    </w:p>
    <w:p w:rsidR="004E48E2" w:rsidRDefault="00C04C74">
      <w:pPr>
        <w:spacing w:after="120" w:line="24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WALLERSTEIN, Immanuel. (Coord.) </w:t>
      </w:r>
      <w:r>
        <w:rPr>
          <w:rFonts w:ascii="Times New Roman" w:eastAsia="Times New Roman" w:hAnsi="Times New Roman" w:cs="Times New Roman"/>
          <w:sz w:val="24"/>
          <w:szCs w:val="24"/>
        </w:rPr>
        <w:t>(2001) [1996] Abrir las Ciencias Sociales. Informe de la Comisión Gulbenkian para la reestructuración de las ciencias sociales. Siglo XXI. México. 5ta. Edic. en español</w:t>
      </w:r>
    </w:p>
    <w:p w:rsidR="004E48E2" w:rsidRDefault="004E48E2">
      <w:pPr>
        <w:spacing w:after="0" w:line="240" w:lineRule="auto"/>
        <w:ind w:hanging="2"/>
        <w:jc w:val="both"/>
        <w:rPr>
          <w:rFonts w:ascii="Times New Roman" w:eastAsia="Times New Roman" w:hAnsi="Times New Roman" w:cs="Times New Roman"/>
          <w:b/>
          <w:bCs/>
          <w:sz w:val="16"/>
          <w:szCs w:val="16"/>
        </w:rPr>
      </w:pPr>
    </w:p>
    <w:p w:rsidR="004E48E2" w:rsidRDefault="00C04C74">
      <w:pP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Fuentes:</w:t>
      </w:r>
    </w:p>
    <w:p w:rsidR="004E48E2" w:rsidRDefault="00C04C74">
      <w:pP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RANKE, Leopold Von: </w:t>
      </w:r>
      <w:r>
        <w:rPr>
          <w:rFonts w:ascii="Times New Roman" w:eastAsia="Times New Roman" w:hAnsi="Times New Roman" w:cs="Times New Roman"/>
          <w:i/>
          <w:iCs/>
          <w:sz w:val="24"/>
          <w:szCs w:val="24"/>
        </w:rPr>
        <w:t>Grandes figuras de la historia</w:t>
      </w:r>
      <w:r>
        <w:rPr>
          <w:rFonts w:ascii="Times New Roman" w:eastAsia="Times New Roman" w:hAnsi="Times New Roman" w:cs="Times New Roman"/>
          <w:sz w:val="24"/>
          <w:szCs w:val="24"/>
        </w:rPr>
        <w:t>, Cap. III “Historia de Pru</w:t>
      </w:r>
      <w:r>
        <w:rPr>
          <w:rFonts w:ascii="Times New Roman" w:eastAsia="Times New Roman" w:hAnsi="Times New Roman" w:cs="Times New Roman"/>
          <w:sz w:val="24"/>
          <w:szCs w:val="24"/>
        </w:rPr>
        <w:t>sia: Bísmark”.</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Edición: RANKE, Leopold Von, </w:t>
      </w:r>
      <w:r>
        <w:rPr>
          <w:rFonts w:ascii="Times New Roman" w:eastAsia="Times New Roman" w:hAnsi="Times New Roman" w:cs="Times New Roman"/>
          <w:i/>
          <w:iCs/>
          <w:sz w:val="24"/>
          <w:szCs w:val="24"/>
        </w:rPr>
        <w:t xml:space="preserve">Grandes figuras de la historia, </w:t>
      </w:r>
      <w:r>
        <w:rPr>
          <w:rFonts w:ascii="Times New Roman" w:eastAsia="Times New Roman" w:hAnsi="Times New Roman" w:cs="Times New Roman"/>
          <w:sz w:val="24"/>
          <w:szCs w:val="24"/>
        </w:rPr>
        <w:t>España, Grijalbo, 1971 (Col. Biografías Gandesa; traducción y prólogo de Wenceslao Roces), pp. 281-283.</w:t>
      </w:r>
    </w:p>
    <w:p w:rsidR="004E48E2" w:rsidRDefault="00C04C74">
      <w:pP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HERDER, Joham (1774) </w:t>
      </w:r>
      <w:r>
        <w:rPr>
          <w:rFonts w:ascii="Times New Roman" w:eastAsia="Times New Roman" w:hAnsi="Times New Roman" w:cs="Times New Roman"/>
          <w:i/>
          <w:iCs/>
          <w:sz w:val="24"/>
          <w:szCs w:val="24"/>
        </w:rPr>
        <w:t xml:space="preserve">Obra filosófica de la historia para la educación de la </w:t>
      </w:r>
      <w:r>
        <w:rPr>
          <w:rFonts w:ascii="Times New Roman" w:eastAsia="Times New Roman" w:hAnsi="Times New Roman" w:cs="Times New Roman"/>
          <w:i/>
          <w:iCs/>
          <w:sz w:val="24"/>
          <w:szCs w:val="24"/>
        </w:rPr>
        <w:t xml:space="preserve">humanidad. </w:t>
      </w:r>
      <w:r>
        <w:rPr>
          <w:rFonts w:ascii="Times New Roman" w:eastAsia="Times New Roman" w:hAnsi="Times New Roman" w:cs="Times New Roman"/>
          <w:sz w:val="24"/>
          <w:szCs w:val="24"/>
        </w:rPr>
        <w:t>Sección primera. Pp, 295-297. Traducción Pedro Ribas. En SANCHEZ MARCOS, f (1993) Invitación a la Historia. La historiografía de Heródoto a Voltaire a través de sus textos. Labor. Barcelona.</w:t>
      </w:r>
    </w:p>
    <w:p w:rsidR="004E48E2" w:rsidRDefault="00C04C74">
      <w:pPr>
        <w:spacing w:after="0" w:line="24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MARX, Karl [1848] </w:t>
      </w:r>
      <w:r>
        <w:rPr>
          <w:rFonts w:ascii="Times New Roman" w:eastAsia="Times New Roman" w:hAnsi="Times New Roman" w:cs="Times New Roman"/>
          <w:i/>
          <w:iCs/>
          <w:sz w:val="24"/>
          <w:szCs w:val="24"/>
        </w:rPr>
        <w:t>El Manifiesto Comunista</w:t>
      </w:r>
    </w:p>
    <w:p w:rsidR="004E48E2" w:rsidRDefault="00C04C74">
      <w:pPr>
        <w:tabs>
          <w:tab w:val="left" w:pos="0"/>
        </w:tabs>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MARX, Karl y</w:t>
      </w:r>
      <w:r>
        <w:rPr>
          <w:rFonts w:ascii="Times New Roman" w:eastAsia="Times New Roman" w:hAnsi="Times New Roman" w:cs="Times New Roman"/>
          <w:sz w:val="24"/>
          <w:szCs w:val="24"/>
        </w:rPr>
        <w:t xml:space="preserve">  Friedrich.  Engels. </w:t>
      </w:r>
      <w:r>
        <w:rPr>
          <w:rFonts w:ascii="Times New Roman" w:eastAsia="Times New Roman" w:hAnsi="Times New Roman" w:cs="Times New Roman"/>
          <w:i/>
          <w:iCs/>
          <w:sz w:val="24"/>
          <w:szCs w:val="24"/>
        </w:rPr>
        <w:t>La Ideología Alemana</w:t>
      </w:r>
      <w:r>
        <w:rPr>
          <w:rFonts w:ascii="Times New Roman" w:eastAsia="Times New Roman" w:hAnsi="Times New Roman" w:cs="Times New Roman"/>
          <w:sz w:val="24"/>
          <w:szCs w:val="24"/>
        </w:rPr>
        <w:t xml:space="preserve"> (primer capítulo) </w:t>
      </w:r>
    </w:p>
    <w:p w:rsidR="004E48E2" w:rsidRDefault="00C04C74">
      <w:pP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MARX, Karl. [1859] </w:t>
      </w:r>
      <w:r>
        <w:rPr>
          <w:rFonts w:ascii="Times New Roman" w:eastAsia="Times New Roman" w:hAnsi="Times New Roman" w:cs="Times New Roman"/>
          <w:i/>
          <w:iCs/>
          <w:sz w:val="24"/>
          <w:szCs w:val="24"/>
        </w:rPr>
        <w:t>Contribución a la Crítica de la Economía Política (</w:t>
      </w:r>
      <w:r>
        <w:rPr>
          <w:rFonts w:ascii="Times New Roman" w:eastAsia="Times New Roman" w:hAnsi="Times New Roman" w:cs="Times New Roman"/>
          <w:sz w:val="24"/>
          <w:szCs w:val="24"/>
        </w:rPr>
        <w:t>Prólogo).</w:t>
      </w:r>
    </w:p>
    <w:p w:rsidR="004E48E2" w:rsidRDefault="004E48E2">
      <w:pPr>
        <w:spacing w:after="0" w:line="240" w:lineRule="auto"/>
        <w:ind w:hanging="2"/>
        <w:jc w:val="both"/>
        <w:rPr>
          <w:rFonts w:ascii="Times New Roman" w:eastAsia="Times New Roman" w:hAnsi="Times New Roman" w:cs="Times New Roman"/>
          <w:sz w:val="24"/>
          <w:szCs w:val="24"/>
        </w:rPr>
      </w:pPr>
    </w:p>
    <w:p w:rsidR="004E48E2" w:rsidRDefault="004E48E2">
      <w:pPr>
        <w:spacing w:after="0" w:line="240" w:lineRule="auto"/>
        <w:ind w:hanging="2"/>
        <w:jc w:val="both"/>
        <w:rPr>
          <w:rFonts w:ascii="Times New Roman" w:eastAsia="Times New Roman" w:hAnsi="Times New Roman" w:cs="Times New Roman"/>
          <w:b/>
          <w:bCs/>
          <w:sz w:val="24"/>
          <w:szCs w:val="24"/>
        </w:rPr>
      </w:pPr>
    </w:p>
    <w:p w:rsidR="004E48E2" w:rsidRDefault="00C04C74">
      <w:pPr>
        <w:spacing w:after="0" w:line="240" w:lineRule="auto"/>
        <w:ind w:hanging="2"/>
        <w:jc w:val="both"/>
        <w:rPr>
          <w:rFonts w:ascii="Times New Roman" w:eastAsia="Times New Roman" w:hAnsi="Times New Roman" w:cs="Times New Roman"/>
          <w:color w:val="FF0000"/>
          <w:sz w:val="24"/>
          <w:szCs w:val="24"/>
        </w:rPr>
      </w:pPr>
      <w:r>
        <w:rPr>
          <w:rFonts w:ascii="Times New Roman" w:eastAsia="Times New Roman" w:hAnsi="Times New Roman" w:cs="Times New Roman"/>
          <w:b/>
          <w:bCs/>
          <w:sz w:val="24"/>
          <w:szCs w:val="24"/>
        </w:rPr>
        <w:t xml:space="preserve">UNIDAD 4: </w:t>
      </w:r>
    </w:p>
    <w:p w:rsidR="004E48E2" w:rsidRDefault="004E48E2">
      <w:pPr>
        <w:tabs>
          <w:tab w:val="left" w:pos="0"/>
        </w:tabs>
        <w:spacing w:after="0" w:line="240" w:lineRule="auto"/>
        <w:jc w:val="both"/>
        <w:rPr>
          <w:rFonts w:ascii="Times New Roman" w:eastAsia="Times New Roman" w:hAnsi="Times New Roman" w:cs="Times New Roman"/>
          <w:sz w:val="8"/>
          <w:szCs w:val="8"/>
        </w:rPr>
      </w:pPr>
    </w:p>
    <w:p w:rsidR="004E48E2" w:rsidRDefault="00C04C74">
      <w:pPr>
        <w:tabs>
          <w:tab w:val="left" w:pos="0"/>
        </w:tabs>
        <w:spacing w:after="12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BURKE, P. (1999) “Los fundadores: Lucien Febvre y Marc Bloch” (Cap. 2, pp. 20-37); “El período de Braudel” (Cap. 3, pp 38 -67) “La tercera generación” (Cap. 4 pp, 68-93) En BURKE, P (1999) La Revolución Historiográfica Francesa. La escuela de los Annales (</w:t>
      </w:r>
      <w:r>
        <w:rPr>
          <w:rFonts w:ascii="Times New Roman" w:eastAsia="Times New Roman" w:hAnsi="Times New Roman" w:cs="Times New Roman"/>
          <w:sz w:val="24"/>
          <w:szCs w:val="24"/>
        </w:rPr>
        <w:t>1929-1984). Gedisa. Barcelona</w:t>
      </w:r>
    </w:p>
    <w:p w:rsidR="004E48E2" w:rsidRDefault="00C04C74">
      <w:pPr>
        <w:tabs>
          <w:tab w:val="left" w:pos="0"/>
        </w:tabs>
        <w:spacing w:after="12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BLOCH, M (1978) [1949].Introducción a la Historia. Fondo de Cultura Económica. México. 8ª reimpresión</w:t>
      </w:r>
    </w:p>
    <w:p w:rsidR="004E48E2" w:rsidRDefault="00C04C74">
      <w:pPr>
        <w:tabs>
          <w:tab w:val="left" w:pos="0"/>
        </w:tabs>
        <w:spacing w:after="12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BRAUDEL, F (1980) [1958]. “La Larga Duración”. En BRAUDEL, F (1980) La Historia y las Ciencias Sociales</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Alianza. Madrid. 5ª</w:t>
      </w:r>
      <w:r>
        <w:rPr>
          <w:rFonts w:ascii="Times New Roman" w:eastAsia="Times New Roman" w:hAnsi="Times New Roman" w:cs="Times New Roman"/>
          <w:sz w:val="24"/>
          <w:szCs w:val="24"/>
        </w:rPr>
        <w:t xml:space="preserve"> edición. </w:t>
      </w:r>
    </w:p>
    <w:p w:rsidR="004E48E2" w:rsidRDefault="00C04C74">
      <w:pPr>
        <w:spacing w:after="12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IGGERS, Georg (1998) [1995]. “La ciencia histórica desde el historicismo clásico hasta la historia como ciencia social analítica” Primera parte. (pp 23-59) En Iggers, G. (1998) La Ciencia Histórica en el siglo XX</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Idea Books. Barcelona </w:t>
      </w:r>
    </w:p>
    <w:p w:rsidR="004E48E2" w:rsidRDefault="00C04C74">
      <w:pPr>
        <w:spacing w:after="120" w:line="24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KAYE, H. (1989) “La contribución colectiva” (Cap.7 pp. 201-224) En KAYE, H (1989) Los historiadores marxistas británicos.  Prensas Universitarias. Universidad de Zaragoza España.</w:t>
      </w:r>
    </w:p>
    <w:p w:rsidR="004E48E2" w:rsidRDefault="00C04C74">
      <w:pPr>
        <w:spacing w:after="120" w:line="24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 GOFF, Jacques y Pierre Nora. (Dir) (1980) [1974/1978] Hacer la Historia. N</w:t>
      </w:r>
      <w:r>
        <w:rPr>
          <w:rFonts w:ascii="Times New Roman" w:eastAsia="Times New Roman" w:hAnsi="Times New Roman" w:cs="Times New Roman"/>
          <w:sz w:val="24"/>
          <w:szCs w:val="24"/>
        </w:rPr>
        <w:t>uevos Problemas. Nuevos enfoques. Nuevos temas</w:t>
      </w:r>
      <w:r>
        <w:rPr>
          <w:rFonts w:ascii="Times New Roman" w:eastAsia="Times New Roman" w:hAnsi="Times New Roman" w:cs="Times New Roman"/>
          <w:sz w:val="24"/>
          <w:szCs w:val="24"/>
          <w:u w:val="single"/>
        </w:rPr>
        <w:t>.</w:t>
      </w:r>
      <w:r>
        <w:rPr>
          <w:rFonts w:ascii="Times New Roman" w:eastAsia="Times New Roman" w:hAnsi="Times New Roman" w:cs="Times New Roman"/>
          <w:sz w:val="24"/>
          <w:szCs w:val="24"/>
        </w:rPr>
        <w:t xml:space="preserve"> Editorial Laia. Barcelona.</w:t>
      </w:r>
      <w:r>
        <w:rPr>
          <w:rFonts w:ascii="Times New Roman" w:eastAsia="Times New Roman" w:hAnsi="Times New Roman" w:cs="Times New Roman"/>
          <w:color w:val="FF0000"/>
          <w:sz w:val="24"/>
          <w:szCs w:val="24"/>
        </w:rPr>
        <w:t xml:space="preserve"> </w:t>
      </w:r>
    </w:p>
    <w:p w:rsidR="004E48E2" w:rsidRDefault="004E48E2">
      <w:pPr>
        <w:spacing w:after="0" w:line="240" w:lineRule="auto"/>
        <w:ind w:hanging="2"/>
        <w:jc w:val="both"/>
        <w:rPr>
          <w:rFonts w:ascii="Times New Roman" w:eastAsia="Times New Roman" w:hAnsi="Times New Roman" w:cs="Times New Roman"/>
          <w:b/>
          <w:bCs/>
          <w:sz w:val="24"/>
          <w:szCs w:val="24"/>
        </w:rPr>
      </w:pPr>
    </w:p>
    <w:p w:rsidR="004E48E2" w:rsidRDefault="00C04C74">
      <w:pPr>
        <w:spacing w:after="0" w:line="240" w:lineRule="auto"/>
        <w:ind w:hanging="2"/>
        <w:jc w:val="both"/>
        <w:rPr>
          <w:rFonts w:ascii="Times New Roman" w:eastAsia="Times New Roman" w:hAnsi="Times New Roman" w:cs="Times New Roman"/>
          <w:b/>
          <w:bCs/>
          <w:sz w:val="16"/>
          <w:szCs w:val="16"/>
        </w:rPr>
      </w:pPr>
      <w:r>
        <w:rPr>
          <w:rFonts w:ascii="Times New Roman" w:eastAsia="Times New Roman" w:hAnsi="Times New Roman" w:cs="Times New Roman"/>
          <w:b/>
          <w:bCs/>
          <w:sz w:val="24"/>
          <w:szCs w:val="24"/>
        </w:rPr>
        <w:t>Fuentes:</w:t>
      </w:r>
    </w:p>
    <w:p w:rsidR="004E48E2" w:rsidRDefault="00C04C74">
      <w:pPr>
        <w:tabs>
          <w:tab w:val="left" w:pos="0"/>
        </w:tabs>
        <w:spacing w:after="12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BLOCH, Marc. </w:t>
      </w:r>
      <w:r>
        <w:rPr>
          <w:rFonts w:ascii="Times New Roman" w:eastAsia="Times New Roman" w:hAnsi="Times New Roman" w:cs="Times New Roman"/>
          <w:i/>
          <w:iCs/>
          <w:sz w:val="24"/>
          <w:szCs w:val="24"/>
        </w:rPr>
        <w:t>Los Reyes Taumaturgos</w:t>
      </w:r>
      <w:r>
        <w:rPr>
          <w:rFonts w:ascii="Times New Roman" w:eastAsia="Times New Roman" w:hAnsi="Times New Roman" w:cs="Times New Roman"/>
          <w:sz w:val="24"/>
          <w:szCs w:val="24"/>
        </w:rPr>
        <w:t xml:space="preserve"> (1988) [1924]. Fondo de Cultura Económica. México. </w:t>
      </w:r>
    </w:p>
    <w:p w:rsidR="004E48E2" w:rsidRDefault="00C04C74">
      <w:pPr>
        <w:spacing w:after="12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BRAUDEL, F. (1976) [1949] </w:t>
      </w:r>
      <w:r>
        <w:rPr>
          <w:rFonts w:ascii="Times New Roman" w:eastAsia="Times New Roman" w:hAnsi="Times New Roman" w:cs="Times New Roman"/>
          <w:i/>
          <w:iCs/>
          <w:sz w:val="24"/>
          <w:szCs w:val="24"/>
        </w:rPr>
        <w:t>El Mediterráneo y el mundo mediterráneo en la época de Fe</w:t>
      </w:r>
      <w:r>
        <w:rPr>
          <w:rFonts w:ascii="Times New Roman" w:eastAsia="Times New Roman" w:hAnsi="Times New Roman" w:cs="Times New Roman"/>
          <w:i/>
          <w:iCs/>
          <w:sz w:val="24"/>
          <w:szCs w:val="24"/>
        </w:rPr>
        <w:t>lipe II</w:t>
      </w:r>
      <w:r>
        <w:rPr>
          <w:rFonts w:ascii="Times New Roman" w:eastAsia="Times New Roman" w:hAnsi="Times New Roman" w:cs="Times New Roman"/>
          <w:sz w:val="24"/>
          <w:szCs w:val="24"/>
          <w:u w:val="single"/>
        </w:rPr>
        <w:t>.</w:t>
      </w:r>
      <w:r>
        <w:rPr>
          <w:rFonts w:ascii="Times New Roman" w:eastAsia="Times New Roman" w:hAnsi="Times New Roman" w:cs="Times New Roman"/>
          <w:sz w:val="24"/>
          <w:szCs w:val="24"/>
        </w:rPr>
        <w:t xml:space="preserve"> FCE. México) </w:t>
      </w:r>
    </w:p>
    <w:p w:rsidR="004E48E2" w:rsidRDefault="00C04C74">
      <w:pPr>
        <w:spacing w:after="120" w:line="24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FEBVRE, Lucien</w:t>
      </w:r>
      <w:r>
        <w:rPr>
          <w:rFonts w:ascii="Times New Roman" w:eastAsia="Times New Roman" w:hAnsi="Times New Roman" w:cs="Times New Roman"/>
          <w:color w:val="C0504D"/>
          <w:sz w:val="24"/>
          <w:szCs w:val="24"/>
        </w:rPr>
        <w:t xml:space="preserve"> </w:t>
      </w:r>
      <w:r>
        <w:rPr>
          <w:rFonts w:ascii="Times New Roman" w:eastAsia="Times New Roman" w:hAnsi="Times New Roman" w:cs="Times New Roman"/>
          <w:sz w:val="24"/>
          <w:szCs w:val="24"/>
        </w:rPr>
        <w:t xml:space="preserve">(1959) </w:t>
      </w:r>
      <w:r>
        <w:rPr>
          <w:rFonts w:ascii="Times New Roman" w:eastAsia="Times New Roman" w:hAnsi="Times New Roman" w:cs="Times New Roman"/>
          <w:i/>
          <w:iCs/>
          <w:sz w:val="24"/>
          <w:szCs w:val="24"/>
        </w:rPr>
        <w:t>E</w:t>
      </w:r>
      <w:r>
        <w:rPr>
          <w:rFonts w:ascii="Times New Roman" w:eastAsia="Times New Roman" w:hAnsi="Times New Roman" w:cs="Times New Roman"/>
          <w:sz w:val="24"/>
          <w:szCs w:val="24"/>
        </w:rPr>
        <w:t xml:space="preserve">l </w:t>
      </w:r>
      <w:r>
        <w:rPr>
          <w:rFonts w:ascii="Times New Roman" w:eastAsia="Times New Roman" w:hAnsi="Times New Roman" w:cs="Times New Roman"/>
          <w:i/>
          <w:iCs/>
          <w:sz w:val="24"/>
          <w:szCs w:val="24"/>
        </w:rPr>
        <w:t xml:space="preserve">problema de la Incredulidad en el siglo XVI. La religión de Rabelias. </w:t>
      </w:r>
      <w:r>
        <w:rPr>
          <w:rFonts w:ascii="Times New Roman" w:eastAsia="Times New Roman" w:hAnsi="Times New Roman" w:cs="Times New Roman"/>
          <w:sz w:val="24"/>
          <w:szCs w:val="24"/>
        </w:rPr>
        <w:t>En Berr Henry, La evolución humana. Síntesis Colectiva, México. Editorial Hispanoamericana. Primera parte: ¿Rabelais ateo? El problema y el método. (pp.8- 13)</w:t>
      </w:r>
    </w:p>
    <w:p w:rsidR="004E48E2" w:rsidRDefault="00C04C74">
      <w:pPr>
        <w:spacing w:after="120" w:line="24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 ROY LADURIE, E (1975) </w:t>
      </w:r>
      <w:r>
        <w:rPr>
          <w:rFonts w:ascii="Times New Roman" w:eastAsia="Times New Roman" w:hAnsi="Times New Roman" w:cs="Times New Roman"/>
          <w:i/>
          <w:iCs/>
          <w:sz w:val="24"/>
          <w:szCs w:val="24"/>
        </w:rPr>
        <w:t>Montaillou, aldea Occitana, 1294-1324.</w:t>
      </w:r>
      <w:r>
        <w:rPr>
          <w:rFonts w:ascii="Times New Roman" w:eastAsia="Times New Roman" w:hAnsi="Times New Roman" w:cs="Times New Roman"/>
          <w:sz w:val="24"/>
          <w:szCs w:val="24"/>
        </w:rPr>
        <w:t xml:space="preserve"> Editor digital: Titivillus. ePub </w:t>
      </w:r>
      <w:r>
        <w:rPr>
          <w:rFonts w:ascii="Times New Roman" w:eastAsia="Times New Roman" w:hAnsi="Times New Roman" w:cs="Times New Roman"/>
          <w:sz w:val="24"/>
          <w:szCs w:val="24"/>
        </w:rPr>
        <w:t>base r2.1</w:t>
      </w:r>
    </w:p>
    <w:p w:rsidR="004E48E2" w:rsidRDefault="00C04C74">
      <w:pPr>
        <w:spacing w:after="120" w:line="24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THOMPSON, E (1989) [1963] </w:t>
      </w:r>
      <w:r>
        <w:rPr>
          <w:rFonts w:ascii="Times New Roman" w:eastAsia="Times New Roman" w:hAnsi="Times New Roman" w:cs="Times New Roman"/>
          <w:i/>
          <w:iCs/>
          <w:sz w:val="24"/>
          <w:szCs w:val="24"/>
        </w:rPr>
        <w:t>La formación de la clase obrera en Inglaterra</w:t>
      </w:r>
      <w:r>
        <w:rPr>
          <w:rFonts w:ascii="Times New Roman" w:eastAsia="Times New Roman" w:hAnsi="Times New Roman" w:cs="Times New Roman"/>
          <w:sz w:val="24"/>
          <w:szCs w:val="24"/>
        </w:rPr>
        <w:t xml:space="preserve">. Ed. Crítica. Barcelona. </w:t>
      </w:r>
    </w:p>
    <w:p w:rsidR="004E48E2" w:rsidRDefault="004E48E2">
      <w:pPr>
        <w:tabs>
          <w:tab w:val="center" w:pos="3727"/>
        </w:tabs>
        <w:spacing w:after="0" w:line="240" w:lineRule="auto"/>
        <w:ind w:hanging="2"/>
        <w:jc w:val="both"/>
        <w:rPr>
          <w:rFonts w:ascii="Times New Roman" w:eastAsia="Times New Roman" w:hAnsi="Times New Roman" w:cs="Times New Roman"/>
          <w:sz w:val="24"/>
          <w:szCs w:val="24"/>
        </w:rPr>
      </w:pPr>
    </w:p>
    <w:p w:rsidR="004E48E2" w:rsidRDefault="00C04C74">
      <w:pPr>
        <w:tabs>
          <w:tab w:val="center" w:pos="3727"/>
        </w:tabs>
        <w:spacing w:after="0" w:line="240" w:lineRule="auto"/>
        <w:ind w:hanging="2"/>
        <w:jc w:val="both"/>
        <w:rPr>
          <w:rFonts w:ascii="Times New Roman" w:eastAsia="Times New Roman" w:hAnsi="Times New Roman" w:cs="Times New Roman"/>
          <w:b/>
          <w:bCs/>
          <w:color w:val="FF0000"/>
          <w:sz w:val="24"/>
          <w:szCs w:val="24"/>
        </w:rPr>
      </w:pPr>
      <w:r>
        <w:rPr>
          <w:rFonts w:ascii="Times New Roman" w:eastAsia="Times New Roman" w:hAnsi="Times New Roman" w:cs="Times New Roman"/>
          <w:b/>
          <w:bCs/>
          <w:sz w:val="24"/>
          <w:szCs w:val="24"/>
        </w:rPr>
        <w:t xml:space="preserve">UNIDAD 5: </w:t>
      </w:r>
    </w:p>
    <w:p w:rsidR="004E48E2" w:rsidRDefault="004E48E2">
      <w:pPr>
        <w:tabs>
          <w:tab w:val="center" w:pos="3727"/>
        </w:tabs>
        <w:spacing w:after="0" w:line="240" w:lineRule="auto"/>
        <w:ind w:hanging="2"/>
        <w:jc w:val="both"/>
        <w:rPr>
          <w:rFonts w:ascii="Times New Roman" w:eastAsia="Times New Roman" w:hAnsi="Times New Roman" w:cs="Times New Roman"/>
          <w:highlight w:val="yellow"/>
        </w:rPr>
      </w:pPr>
    </w:p>
    <w:p w:rsidR="004E48E2" w:rsidRDefault="00C04C74">
      <w:pPr>
        <w:spacing w:after="120" w:line="240" w:lineRule="auto"/>
        <w:ind w:hanging="2"/>
        <w:jc w:val="both"/>
        <w:rPr>
          <w:rFonts w:ascii="Times New Roman" w:eastAsia="Times New Roman" w:hAnsi="Times New Roman" w:cs="Times New Roman"/>
          <w:sz w:val="16"/>
          <w:szCs w:val="16"/>
        </w:rPr>
      </w:pPr>
      <w:r>
        <w:rPr>
          <w:rFonts w:ascii="Times New Roman" w:eastAsia="Times New Roman" w:hAnsi="Times New Roman" w:cs="Times New Roman"/>
          <w:sz w:val="24"/>
          <w:szCs w:val="24"/>
        </w:rPr>
        <w:t>AGUIRRE ROJAS, C (2006) “Después de 1989 ¿Cuartos Annales o nuevos Annales de transformación?” (Cap. VII, pp.190-211) En AGUIRRE ROJAS,</w:t>
      </w:r>
      <w:r>
        <w:rPr>
          <w:rFonts w:ascii="Times New Roman" w:eastAsia="Times New Roman" w:hAnsi="Times New Roman" w:cs="Times New Roman"/>
          <w:sz w:val="24"/>
          <w:szCs w:val="24"/>
        </w:rPr>
        <w:t xml:space="preserve"> C (2006) La Escuela de los Annales. Ayer, hoy y mañana</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Prohistoria. Rosario.</w:t>
      </w:r>
    </w:p>
    <w:p w:rsidR="004E48E2" w:rsidRDefault="00C04C74">
      <w:pPr>
        <w:spacing w:after="120" w:line="24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BERENSON, E. (2012) “La historia cultural americana. La historia cultural de Francia vista desde América” En Poirrier, P. (2012) La historia cultural ¿Un giro historiográfico m</w:t>
      </w:r>
      <w:r>
        <w:rPr>
          <w:rFonts w:ascii="Times New Roman" w:eastAsia="Times New Roman" w:hAnsi="Times New Roman" w:cs="Times New Roman"/>
          <w:sz w:val="24"/>
          <w:szCs w:val="24"/>
        </w:rPr>
        <w:t>undial? Publicación de la Universidad de Valencia. Valencia. pp. 48-58.</w:t>
      </w:r>
    </w:p>
    <w:p w:rsidR="004E48E2" w:rsidRDefault="00C04C74">
      <w:pPr>
        <w:spacing w:after="120" w:line="240" w:lineRule="auto"/>
        <w:ind w:left="2"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FONTANA, Josep. (2000) “Los marxismos” (Cap 11, </w:t>
      </w:r>
      <w:r>
        <w:rPr>
          <w:rFonts w:ascii="Times New Roman" w:eastAsia="Times New Roman" w:hAnsi="Times New Roman" w:cs="Times New Roman"/>
        </w:rPr>
        <w:t>pp. 231-255</w:t>
      </w:r>
      <w:r>
        <w:rPr>
          <w:rFonts w:ascii="Times New Roman" w:eastAsia="Times New Roman" w:hAnsi="Times New Roman" w:cs="Times New Roman"/>
          <w:sz w:val="24"/>
          <w:szCs w:val="24"/>
        </w:rPr>
        <w:t xml:space="preserve">), “Por una Historia de Todos. (Cap. 15, pp 329-351) En FONTANA. J (2000) La Historia de los Hombres. Crítica. Barcelona. </w:t>
      </w:r>
    </w:p>
    <w:p w:rsidR="004E48E2" w:rsidRDefault="00C04C74">
      <w:pPr>
        <w:spacing w:after="12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GI</w:t>
      </w:r>
      <w:r>
        <w:rPr>
          <w:rFonts w:ascii="Times New Roman" w:eastAsia="Times New Roman" w:hAnsi="Times New Roman" w:cs="Times New Roman"/>
          <w:sz w:val="24"/>
          <w:szCs w:val="24"/>
        </w:rPr>
        <w:t>NZBURG, C. (1997) [1976]</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(3ª edición) El Queso y los Gusanos. El cosmos, según el molinero del Siglo XVI.</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Muchnik, Italia.</w:t>
      </w:r>
    </w:p>
    <w:p w:rsidR="004E48E2" w:rsidRDefault="00C04C74">
      <w:pPr>
        <w:spacing w:after="120" w:line="24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IGGERS, Georg. (1998) [1995] “De la ciencia social histórica al giro lingüístico. Teoría de la Historia e Historiografía de los últimos veinte años”. Segunda Parte. En Iggers, G (1998) La Ciencia Histórica en el siglo XX  Idea Books. Barcelona </w:t>
      </w:r>
    </w:p>
    <w:p w:rsidR="004E48E2" w:rsidRDefault="00C04C74">
      <w:pPr>
        <w:spacing w:after="120" w:line="24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MORADIELLOS, E (2001) “El debate sobre el ser y el hacer de la historia ante el cambio de milenio”. (Cap.7: pp 231-270) En MORADIELLOS, E (2001) Las caras de Clio</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Siglo XXI. Madrid.</w:t>
      </w:r>
    </w:p>
    <w:p w:rsidR="004E48E2" w:rsidRDefault="004E48E2">
      <w:pPr>
        <w:tabs>
          <w:tab w:val="center" w:pos="3727"/>
        </w:tabs>
        <w:spacing w:after="0" w:line="240" w:lineRule="auto"/>
        <w:ind w:hanging="2"/>
        <w:jc w:val="both"/>
        <w:rPr>
          <w:rFonts w:ascii="Times New Roman" w:eastAsia="Times New Roman" w:hAnsi="Times New Roman" w:cs="Times New Roman"/>
          <w:sz w:val="24"/>
          <w:szCs w:val="24"/>
        </w:rPr>
      </w:pPr>
    </w:p>
    <w:p w:rsidR="004E48E2" w:rsidRDefault="00C04C74">
      <w:pPr>
        <w:tabs>
          <w:tab w:val="center" w:pos="3727"/>
        </w:tabs>
        <w:spacing w:after="0" w:line="240" w:lineRule="auto"/>
        <w:ind w:hanging="2"/>
        <w:jc w:val="both"/>
        <w:rPr>
          <w:rFonts w:ascii="Times New Roman" w:eastAsia="Times New Roman" w:hAnsi="Times New Roman" w:cs="Times New Roman"/>
          <w:highlight w:val="green"/>
        </w:rPr>
      </w:pPr>
      <w:r>
        <w:rPr>
          <w:rFonts w:ascii="Times New Roman" w:eastAsia="Times New Roman" w:hAnsi="Times New Roman" w:cs="Times New Roman"/>
          <w:b/>
          <w:bCs/>
          <w:sz w:val="24"/>
          <w:szCs w:val="24"/>
        </w:rPr>
        <w:t xml:space="preserve">Fuentes: </w:t>
      </w:r>
    </w:p>
    <w:p w:rsidR="004E48E2" w:rsidRDefault="004E48E2">
      <w:pPr>
        <w:tabs>
          <w:tab w:val="center" w:pos="3727"/>
        </w:tabs>
        <w:spacing w:after="0" w:line="240" w:lineRule="auto"/>
        <w:ind w:hanging="2"/>
        <w:jc w:val="both"/>
        <w:rPr>
          <w:rFonts w:ascii="Times New Roman" w:eastAsia="Times New Roman" w:hAnsi="Times New Roman" w:cs="Times New Roman"/>
          <w:highlight w:val="green"/>
        </w:rPr>
      </w:pPr>
    </w:p>
    <w:p w:rsidR="004E48E2" w:rsidRDefault="00C04C74">
      <w:pPr>
        <w:tabs>
          <w:tab w:val="center" w:pos="3727"/>
        </w:tabs>
        <w:spacing w:after="120" w:line="240" w:lineRule="auto"/>
        <w:ind w:firstLine="0"/>
        <w:jc w:val="both"/>
        <w:rPr>
          <w:rFonts w:ascii="Times New Roman" w:eastAsia="Times New Roman" w:hAnsi="Times New Roman" w:cs="Times New Roman"/>
        </w:rPr>
      </w:pPr>
      <w:r>
        <w:rPr>
          <w:rFonts w:ascii="Times New Roman" w:eastAsia="Times New Roman" w:hAnsi="Times New Roman" w:cs="Times New Roman"/>
        </w:rPr>
        <w:t>AURELL. Jaume (2016). La escritura de la historia. De los pos</w:t>
      </w:r>
      <w:r>
        <w:rPr>
          <w:rFonts w:ascii="Times New Roman" w:eastAsia="Times New Roman" w:hAnsi="Times New Roman" w:cs="Times New Roman"/>
        </w:rPr>
        <w:t>itivismos a los posmodernismos. Valencia: Universitat de València. (fragmento)</w:t>
      </w:r>
    </w:p>
    <w:p w:rsidR="004E48E2" w:rsidRDefault="00C04C74">
      <w:pPr>
        <w:tabs>
          <w:tab w:val="center" w:pos="3727"/>
        </w:tabs>
        <w:spacing w:after="120" w:line="240" w:lineRule="auto"/>
        <w:ind w:firstLine="0"/>
        <w:jc w:val="both"/>
        <w:rPr>
          <w:rFonts w:ascii="Times New Roman" w:eastAsia="Times New Roman" w:hAnsi="Times New Roman" w:cs="Times New Roman"/>
        </w:rPr>
      </w:pPr>
      <w:r>
        <w:rPr>
          <w:rFonts w:ascii="Times New Roman" w:eastAsia="Times New Roman" w:hAnsi="Times New Roman" w:cs="Times New Roman"/>
        </w:rPr>
        <w:t>DAVIS, Natalie Zemon (1983). El regreso de Martin Guerre. Barcelona: Crítica. (fragmento)</w:t>
      </w:r>
    </w:p>
    <w:p w:rsidR="004E48E2" w:rsidRDefault="00C04C74">
      <w:pPr>
        <w:tabs>
          <w:tab w:val="center" w:pos="3727"/>
        </w:tabs>
        <w:spacing w:after="120" w:line="240" w:lineRule="auto"/>
        <w:ind w:firstLine="0"/>
        <w:jc w:val="both"/>
        <w:rPr>
          <w:rFonts w:ascii="Times New Roman" w:eastAsia="Times New Roman" w:hAnsi="Times New Roman" w:cs="Times New Roman"/>
        </w:rPr>
      </w:pPr>
      <w:r>
        <w:rPr>
          <w:rFonts w:ascii="Times New Roman" w:eastAsia="Times New Roman" w:hAnsi="Times New Roman" w:cs="Times New Roman"/>
        </w:rPr>
        <w:t>GINZBURG, Carlo (1989). “Indicios. Raíces de un paradigma indiciario”. En Mitos, emblem</w:t>
      </w:r>
      <w:r>
        <w:rPr>
          <w:rFonts w:ascii="Times New Roman" w:eastAsia="Times New Roman" w:hAnsi="Times New Roman" w:cs="Times New Roman"/>
        </w:rPr>
        <w:t>as, indicios. Barcelona: Gedisa</w:t>
      </w:r>
    </w:p>
    <w:p w:rsidR="004E48E2" w:rsidRDefault="00C04C74">
      <w:pPr>
        <w:tabs>
          <w:tab w:val="center" w:pos="3727"/>
        </w:tabs>
        <w:spacing w:after="120" w:line="240" w:lineRule="auto"/>
        <w:ind w:firstLine="0"/>
        <w:jc w:val="both"/>
        <w:rPr>
          <w:rFonts w:ascii="Times New Roman" w:eastAsia="Times New Roman" w:hAnsi="Times New Roman" w:cs="Times New Roman"/>
        </w:rPr>
      </w:pPr>
      <w:r>
        <w:rPr>
          <w:rFonts w:ascii="Times New Roman" w:eastAsia="Times New Roman" w:hAnsi="Times New Roman" w:cs="Times New Roman"/>
        </w:rPr>
        <w:t>WHITE Hayden;(1992)  Metahistoria: La imaginación histórica en la Europa del siglo XIX México : FCE, 1992 - trad. de Stella Mastrangelo (Introducción)</w:t>
      </w:r>
    </w:p>
    <w:p w:rsidR="004E48E2" w:rsidRDefault="00C04C74">
      <w:pPr>
        <w:tabs>
          <w:tab w:val="center" w:pos="3727"/>
        </w:tabs>
        <w:spacing w:after="0" w:line="240" w:lineRule="auto"/>
        <w:ind w:hanging="2"/>
        <w:jc w:val="both"/>
        <w:rPr>
          <w:rFonts w:ascii="Times New Roman" w:eastAsia="Times New Roman" w:hAnsi="Times New Roman" w:cs="Times New Roman"/>
        </w:rPr>
      </w:pPr>
      <w:r>
        <w:rPr>
          <w:rFonts w:ascii="Times New Roman" w:eastAsia="Times New Roman" w:hAnsi="Times New Roman" w:cs="Times New Roman"/>
        </w:rPr>
        <w:t>Pelicula: Le Retour de Martin Guerre</w:t>
      </w:r>
    </w:p>
    <w:p w:rsidR="004E48E2" w:rsidRDefault="00C04C74">
      <w:pPr>
        <w:tabs>
          <w:tab w:val="center" w:pos="3727"/>
        </w:tabs>
        <w:spacing w:after="0" w:line="240" w:lineRule="auto"/>
        <w:ind w:hanging="2"/>
        <w:jc w:val="both"/>
        <w:rPr>
          <w:rFonts w:ascii="Times New Roman" w:eastAsia="Times New Roman" w:hAnsi="Times New Roman" w:cs="Times New Roman"/>
        </w:rPr>
      </w:pPr>
      <w:hyperlink r:id="rId10">
        <w:r>
          <w:rPr>
            <w:rFonts w:ascii="Times New Roman" w:eastAsia="Times New Roman" w:hAnsi="Times New Roman" w:cs="Times New Roman"/>
            <w:color w:val="1155CC"/>
            <w:u w:val="single"/>
          </w:rPr>
          <w:t>https://www.youtube.com/watch?v=QZdT8_qmY8I&amp;t=19s</w:t>
        </w:r>
      </w:hyperlink>
    </w:p>
    <w:p w:rsidR="004E48E2" w:rsidRDefault="004E48E2">
      <w:pPr>
        <w:spacing w:line="240" w:lineRule="auto"/>
        <w:ind w:hanging="2"/>
        <w:rPr>
          <w:rFonts w:ascii="Times New Roman" w:eastAsia="Times New Roman" w:hAnsi="Times New Roman" w:cs="Times New Roman"/>
          <w:b/>
          <w:bCs/>
        </w:rPr>
      </w:pPr>
      <w:bookmarkStart w:id="9" w:name="_heading=h.gmxrl2w2ag25" w:colFirst="0" w:colLast="0"/>
      <w:bookmarkEnd w:id="9"/>
    </w:p>
    <w:p w:rsidR="004E48E2" w:rsidRDefault="004E48E2">
      <w:pPr>
        <w:spacing w:line="240" w:lineRule="auto"/>
        <w:ind w:hanging="2"/>
        <w:rPr>
          <w:rFonts w:ascii="Times New Roman" w:eastAsia="Times New Roman" w:hAnsi="Times New Roman" w:cs="Times New Roman"/>
          <w:b/>
          <w:bCs/>
        </w:rPr>
      </w:pPr>
      <w:bookmarkStart w:id="10" w:name="_heading=h.xch9l1iidmhx" w:colFirst="0" w:colLast="0"/>
      <w:bookmarkEnd w:id="10"/>
    </w:p>
    <w:p w:rsidR="004E48E2" w:rsidRDefault="00C04C74">
      <w:pPr>
        <w:spacing w:line="240" w:lineRule="auto"/>
        <w:ind w:hanging="2"/>
        <w:rPr>
          <w:rFonts w:ascii="Times New Roman" w:eastAsia="Times New Roman" w:hAnsi="Times New Roman" w:cs="Times New Roman"/>
          <w:b/>
          <w:bCs/>
        </w:rPr>
      </w:pPr>
      <w:bookmarkStart w:id="11" w:name="_heading=h.7ui8l3idy5xr" w:colFirst="0" w:colLast="0"/>
      <w:bookmarkEnd w:id="11"/>
      <w:r>
        <w:rPr>
          <w:rFonts w:ascii="Times New Roman" w:eastAsia="Times New Roman" w:hAnsi="Times New Roman" w:cs="Times New Roman"/>
          <w:b/>
          <w:bCs/>
        </w:rPr>
        <w:t xml:space="preserve">6.2. BIBLIOGRAFÍA DE CONSULTA </w:t>
      </w:r>
    </w:p>
    <w:p w:rsidR="004E48E2" w:rsidRDefault="00C04C74">
      <w:pPr>
        <w:spacing w:after="12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ANDERSON,  B  (1993)  [1983]  Introducción.  Comunidades  imaginadas. Reflexiones sobre  el  origen  y  la  difusión  del  nacionalismo. Tra</w:t>
      </w:r>
      <w:r>
        <w:rPr>
          <w:rFonts w:ascii="Times New Roman" w:eastAsia="Times New Roman" w:hAnsi="Times New Roman" w:cs="Times New Roman"/>
          <w:sz w:val="24"/>
          <w:szCs w:val="24"/>
        </w:rPr>
        <w:t xml:space="preserve">d.  Eduardo L. Suárez. México: Fondo de Cultura Económica. Pp. 17-25.  </w:t>
      </w:r>
    </w:p>
    <w:p w:rsidR="004E48E2" w:rsidRDefault="00C04C74">
      <w:pPr>
        <w:spacing w:after="12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BARRANCOS, D (2016) Historia, historiografía y género. Notas para la memoria de sus vínculos en la Argentina. Disponible en: </w:t>
      </w:r>
      <w:hyperlink r:id="rId11">
        <w:r>
          <w:rPr>
            <w:rFonts w:ascii="Times New Roman" w:eastAsia="Times New Roman" w:hAnsi="Times New Roman" w:cs="Times New Roman"/>
            <w:color w:val="0000FF"/>
            <w:sz w:val="24"/>
            <w:szCs w:val="24"/>
            <w:u w:val="single"/>
          </w:rPr>
          <w:t>https://repo.unlpam.edu.ar/handle/unlpam/5313</w:t>
        </w:r>
      </w:hyperlink>
    </w:p>
    <w:p w:rsidR="004E48E2" w:rsidRDefault="00C04C74">
      <w:pPr>
        <w:tabs>
          <w:tab w:val="left" w:pos="0"/>
        </w:tabs>
        <w:spacing w:after="12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BORGES, Vavy Pacheco. (1986). O que e Historia. Brasiliense. Sao Paulo. (Traducción Carbonari, MR Cátedra Introducción a la Historia. UNRC 1993)</w:t>
      </w:r>
    </w:p>
    <w:p w:rsidR="004E48E2" w:rsidRDefault="00C04C74">
      <w:pPr>
        <w:tabs>
          <w:tab w:val="left" w:pos="0"/>
        </w:tabs>
        <w:spacing w:after="12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BURKE, P (2011) Historia y teoría social. Amorrortu. Buenos</w:t>
      </w:r>
      <w:r>
        <w:rPr>
          <w:rFonts w:ascii="Times New Roman" w:eastAsia="Times New Roman" w:hAnsi="Times New Roman" w:cs="Times New Roman"/>
          <w:sz w:val="24"/>
          <w:szCs w:val="24"/>
        </w:rPr>
        <w:t xml:space="preserve"> Aires.</w:t>
      </w:r>
    </w:p>
    <w:p w:rsidR="004E48E2" w:rsidRDefault="00C04C74">
      <w:pPr>
        <w:pBdr>
          <w:top w:val="nil"/>
          <w:left w:val="nil"/>
          <w:bottom w:val="nil"/>
          <w:right w:val="nil"/>
          <w:between w:val="nil"/>
        </w:pBdr>
        <w:spacing w:after="12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CARBONARI, M R. (2008). “¿Qué discurso historiográfico convocar para la formación del </w:t>
      </w:r>
      <w:r>
        <w:rPr>
          <w:rFonts w:ascii="Times New Roman" w:eastAsia="Times New Roman" w:hAnsi="Times New Roman" w:cs="Times New Roman"/>
          <w:sz w:val="24"/>
          <w:szCs w:val="24"/>
        </w:rPr>
        <w:t>futuro</w:t>
      </w:r>
      <w:r>
        <w:rPr>
          <w:rFonts w:ascii="Times New Roman" w:eastAsia="Times New Roman" w:hAnsi="Times New Roman" w:cs="Times New Roman"/>
          <w:color w:val="000000"/>
          <w:sz w:val="24"/>
          <w:szCs w:val="24"/>
        </w:rPr>
        <w:t xml:space="preserve"> profesor de historia?” </w:t>
      </w:r>
      <w:r>
        <w:rPr>
          <w:rFonts w:ascii="Times New Roman" w:eastAsia="Times New Roman" w:hAnsi="Times New Roman" w:cs="Times New Roman"/>
          <w:i/>
          <w:iCs/>
          <w:color w:val="000000"/>
          <w:sz w:val="24"/>
          <w:szCs w:val="24"/>
        </w:rPr>
        <w:t>E</w:t>
      </w:r>
      <w:r>
        <w:rPr>
          <w:rFonts w:ascii="Times New Roman" w:eastAsia="Times New Roman" w:hAnsi="Times New Roman" w:cs="Times New Roman"/>
          <w:color w:val="000000"/>
          <w:sz w:val="24"/>
          <w:szCs w:val="24"/>
        </w:rPr>
        <w:t>n Reseñas</w:t>
      </w:r>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u w:val="single"/>
        </w:rPr>
        <w:t xml:space="preserve"> </w:t>
      </w:r>
      <w:r>
        <w:rPr>
          <w:rFonts w:ascii="Times New Roman" w:eastAsia="Times New Roman" w:hAnsi="Times New Roman" w:cs="Times New Roman"/>
          <w:color w:val="000000"/>
          <w:sz w:val="24"/>
          <w:szCs w:val="24"/>
        </w:rPr>
        <w:t>Revista de APEHUN. Córdoba. pp. 167-192.</w:t>
      </w:r>
    </w:p>
    <w:p w:rsidR="004E48E2" w:rsidRDefault="00C04C74">
      <w:pPr>
        <w:spacing w:after="12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CARBONARI, M R (2020)</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Ordenar el tiempo. Registrar la temporalidad: acerca de las periodizaciones, calendarios y cronología. ¿Tiempos de ordenar y tiempos de desordenar lo ordenado?”</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 Documento de trabajo: Introducción a la Historia y a las Ciencias Sociales (6680) UNRC.</w:t>
      </w:r>
    </w:p>
    <w:p w:rsidR="004E48E2" w:rsidRDefault="00C04C74">
      <w:pPr>
        <w:spacing w:after="120" w:line="24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CARBON</w:t>
      </w:r>
      <w:r>
        <w:rPr>
          <w:rFonts w:ascii="Times New Roman" w:eastAsia="Times New Roman" w:hAnsi="Times New Roman" w:cs="Times New Roman"/>
          <w:sz w:val="24"/>
          <w:szCs w:val="24"/>
        </w:rPr>
        <w:t>ELL, C. (1986) La historiografía</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F.C.E. México. </w:t>
      </w:r>
    </w:p>
    <w:p w:rsidR="004E48E2" w:rsidRDefault="00C04C74">
      <w:pPr>
        <w:spacing w:after="120" w:line="240" w:lineRule="auto"/>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CEPEDA RUIZ, J D (2004)  “Imagen de la mujer en la "Historia " de Heródoto: astucia y crueldad del universo femenino” </w:t>
      </w:r>
      <w:r>
        <w:rPr>
          <w:rFonts w:ascii="Times New Roman" w:eastAsia="Times New Roman" w:hAnsi="Times New Roman" w:cs="Times New Roman"/>
          <w:color w:val="000000"/>
          <w:sz w:val="24"/>
          <w:szCs w:val="24"/>
        </w:rPr>
        <w:t>En: </w:t>
      </w:r>
      <w:hyperlink r:id="rId12">
        <w:r>
          <w:rPr>
            <w:rFonts w:ascii="Times New Roman" w:eastAsia="Times New Roman" w:hAnsi="Times New Roman" w:cs="Times New Roman"/>
            <w:color w:val="0000FF"/>
            <w:sz w:val="24"/>
            <w:szCs w:val="24"/>
            <w:highlight w:val="white"/>
            <w:u w:val="single"/>
          </w:rPr>
          <w:t>Akros: Re</w:t>
        </w:r>
        <w:r>
          <w:rPr>
            <w:rFonts w:ascii="Times New Roman" w:eastAsia="Times New Roman" w:hAnsi="Times New Roman" w:cs="Times New Roman"/>
            <w:color w:val="0000FF"/>
            <w:sz w:val="24"/>
            <w:szCs w:val="24"/>
            <w:highlight w:val="white"/>
            <w:u w:val="single"/>
          </w:rPr>
          <w:t>vista de Patrimonio</w:t>
        </w:r>
      </w:hyperlink>
      <w:r>
        <w:rPr>
          <w:rFonts w:ascii="Times New Roman" w:eastAsia="Times New Roman" w:hAnsi="Times New Roman" w:cs="Times New Roman"/>
          <w:color w:val="000000"/>
          <w:sz w:val="24"/>
          <w:szCs w:val="24"/>
          <w:highlight w:val="white"/>
        </w:rPr>
        <w:t>, ISSN 1579-0959, </w:t>
      </w:r>
      <w:hyperlink r:id="rId13">
        <w:r>
          <w:rPr>
            <w:rFonts w:ascii="Times New Roman" w:eastAsia="Times New Roman" w:hAnsi="Times New Roman" w:cs="Times New Roman"/>
            <w:color w:val="0000FF"/>
            <w:sz w:val="24"/>
            <w:szCs w:val="24"/>
            <w:highlight w:val="white"/>
            <w:u w:val="single"/>
          </w:rPr>
          <w:t>Nº. 3</w:t>
        </w:r>
      </w:hyperlink>
      <w:r>
        <w:rPr>
          <w:rFonts w:ascii="Times New Roman" w:eastAsia="Times New Roman" w:hAnsi="Times New Roman" w:cs="Times New Roman"/>
          <w:color w:val="000000"/>
          <w:sz w:val="24"/>
          <w:szCs w:val="24"/>
          <w:highlight w:val="white"/>
        </w:rPr>
        <w:t> págs. 47-56</w:t>
      </w:r>
    </w:p>
    <w:p w:rsidR="004E48E2" w:rsidRDefault="00C04C74">
      <w:pPr>
        <w:spacing w:after="120" w:line="240" w:lineRule="auto"/>
        <w:ind w:left="2"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CHARTIER, R (2007) La historia o la lectura del tiempo.</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Gedisa. Barcelona. </w:t>
      </w:r>
    </w:p>
    <w:p w:rsidR="004E48E2" w:rsidRDefault="00C04C74">
      <w:pPr>
        <w:spacing w:after="12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CHARTIER, R. (1992)</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El mundo como representación. Estudios sobre historia cultural. Gedisa Buenos Aires. </w:t>
      </w:r>
    </w:p>
    <w:p w:rsidR="004E48E2" w:rsidRDefault="00C04C74">
      <w:pPr>
        <w:spacing w:after="120" w:line="240" w:lineRule="auto"/>
        <w:ind w:left="2"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CHESNEAUX, J (1984) [1976] </w:t>
      </w:r>
      <w:r>
        <w:rPr>
          <w:rFonts w:ascii="Times New Roman" w:eastAsia="Times New Roman" w:hAnsi="Times New Roman" w:cs="Times New Roman"/>
          <w:sz w:val="24"/>
          <w:szCs w:val="24"/>
          <w:u w:val="single"/>
        </w:rPr>
        <w:t>¿</w:t>
      </w:r>
      <w:r>
        <w:rPr>
          <w:rFonts w:ascii="Times New Roman" w:eastAsia="Times New Roman" w:hAnsi="Times New Roman" w:cs="Times New Roman"/>
          <w:sz w:val="24"/>
          <w:szCs w:val="24"/>
        </w:rPr>
        <w:t>Hacemos tabla rasa del pasado? A propósito de la historia y de los historiadores</w:t>
      </w:r>
      <w:r>
        <w:rPr>
          <w:rFonts w:ascii="Times New Roman" w:eastAsia="Times New Roman" w:hAnsi="Times New Roman" w:cs="Times New Roman"/>
          <w:sz w:val="24"/>
          <w:szCs w:val="24"/>
          <w:u w:val="single"/>
        </w:rPr>
        <w:t>.</w:t>
      </w:r>
      <w:r>
        <w:rPr>
          <w:rFonts w:ascii="Times New Roman" w:eastAsia="Times New Roman" w:hAnsi="Times New Roman" w:cs="Times New Roman"/>
          <w:sz w:val="24"/>
          <w:szCs w:val="24"/>
        </w:rPr>
        <w:t xml:space="preserve"> Siglo XXI. Buenos Aires.  </w:t>
      </w:r>
    </w:p>
    <w:p w:rsidR="004E48E2" w:rsidRDefault="00C04C74">
      <w:pPr>
        <w:spacing w:after="120" w:line="240" w:lineRule="auto"/>
        <w:ind w:left="2"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DARNTON, R. (1994) [1984]. </w:t>
      </w:r>
      <w:r>
        <w:rPr>
          <w:rFonts w:ascii="Times New Roman" w:eastAsia="Times New Roman" w:hAnsi="Times New Roman" w:cs="Times New Roman"/>
          <w:i/>
          <w:iCs/>
          <w:sz w:val="24"/>
          <w:szCs w:val="24"/>
        </w:rPr>
        <w:t>La reb</w:t>
      </w:r>
      <w:r>
        <w:rPr>
          <w:rFonts w:ascii="Times New Roman" w:eastAsia="Times New Roman" w:hAnsi="Times New Roman" w:cs="Times New Roman"/>
          <w:i/>
          <w:iCs/>
          <w:sz w:val="24"/>
          <w:szCs w:val="24"/>
        </w:rPr>
        <w:t>elión de los obreros: la gran matanza de gatos en la calle Saint -Séverin.</w:t>
      </w:r>
      <w:r>
        <w:rPr>
          <w:rFonts w:ascii="Times New Roman" w:eastAsia="Times New Roman" w:hAnsi="Times New Roman" w:cs="Times New Roman"/>
          <w:sz w:val="24"/>
          <w:szCs w:val="24"/>
        </w:rPr>
        <w:t xml:space="preserve"> En DARTON, R (1994) La gran matanza de gatos y otros episodios en la historia de la cultura francesa. FCE. México, pp 75-100 Disponible en  </w:t>
      </w:r>
      <w:hyperlink r:id="rId14">
        <w:r>
          <w:rPr>
            <w:rFonts w:ascii="Times New Roman" w:eastAsia="Times New Roman" w:hAnsi="Times New Roman" w:cs="Times New Roman"/>
            <w:color w:val="0000FF"/>
            <w:sz w:val="24"/>
            <w:szCs w:val="24"/>
            <w:u w:val="single"/>
          </w:rPr>
          <w:t>http://pendientedemigracion.ucm.es/centros/cont/descargas/documento16815.pdf</w:t>
        </w:r>
      </w:hyperlink>
    </w:p>
    <w:p w:rsidR="004E48E2" w:rsidRDefault="00C04C74">
      <w:pPr>
        <w:pBdr>
          <w:top w:val="nil"/>
          <w:left w:val="nil"/>
          <w:bottom w:val="nil"/>
          <w:right w:val="nil"/>
          <w:between w:val="nil"/>
        </w:pBdr>
        <w:spacing w:after="12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DOSSE, F (2001) [1999] La historia en migajas: de Annales a la “nueva historia</w:t>
      </w:r>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Universidad Iberoamericana. México:</w:t>
      </w:r>
    </w:p>
    <w:p w:rsidR="004E48E2" w:rsidRDefault="00C04C74">
      <w:pPr>
        <w:pBdr>
          <w:top w:val="nil"/>
          <w:left w:val="nil"/>
          <w:bottom w:val="nil"/>
          <w:right w:val="nil"/>
          <w:between w:val="nil"/>
        </w:pBdr>
        <w:spacing w:after="12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GARCÍA PEÑA, A (2016) De la Historia de las mujeres a la historia del género</w:t>
      </w:r>
      <w:r>
        <w:rPr>
          <w:rFonts w:ascii="Times New Roman" w:eastAsia="Times New Roman" w:hAnsi="Times New Roman" w:cs="Times New Roman"/>
          <w:i/>
          <w:iCs/>
          <w:color w:val="000000"/>
          <w:sz w:val="24"/>
          <w:szCs w:val="24"/>
        </w:rPr>
        <w:t>.</w:t>
      </w:r>
      <w:r>
        <w:rPr>
          <w:rFonts w:ascii="Times New Roman" w:eastAsia="Times New Roman" w:hAnsi="Times New Roman" w:cs="Times New Roman"/>
          <w:color w:val="000000"/>
          <w:sz w:val="24"/>
          <w:szCs w:val="24"/>
        </w:rPr>
        <w:t xml:space="preserve"> Universidad Autónoma de México. Contribuciones desde Coatepec, núm. 31, 2016. Publicación Digital</w:t>
      </w:r>
    </w:p>
    <w:p w:rsidR="004E48E2" w:rsidRDefault="00C04C74">
      <w:pPr>
        <w:pBdr>
          <w:top w:val="nil"/>
          <w:left w:val="nil"/>
          <w:bottom w:val="nil"/>
          <w:right w:val="nil"/>
          <w:between w:val="nil"/>
        </w:pBdr>
        <w:spacing w:after="12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GARCIA YEPEZ. J, RODRIGUEZ ROJAS, P (2006) América Latina y la Visión de los Otr</w:t>
      </w:r>
      <w:r>
        <w:rPr>
          <w:rFonts w:ascii="Times New Roman" w:eastAsia="Times New Roman" w:hAnsi="Times New Roman" w:cs="Times New Roman"/>
          <w:color w:val="000000"/>
          <w:sz w:val="24"/>
          <w:szCs w:val="24"/>
        </w:rPr>
        <w:t>os: Breve Revisión Crítica de la Historiografía Latinoamericana</w:t>
      </w:r>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En ENCUENTRO de Latinoamericanistas españoles (12. 2006. Santander): Viejas y nuevas alianzas entre América Latina y España. Disponible en: httos://halshs.archives-ouvertes.fr/halshs-00103984</w:t>
      </w:r>
      <w:r>
        <w:rPr>
          <w:rFonts w:ascii="Times New Roman" w:eastAsia="Times New Roman" w:hAnsi="Times New Roman" w:cs="Times New Roman"/>
          <w:color w:val="000000"/>
          <w:sz w:val="24"/>
          <w:szCs w:val="24"/>
        </w:rPr>
        <w:t>.</w:t>
      </w:r>
    </w:p>
    <w:p w:rsidR="004E48E2" w:rsidRDefault="00C04C74">
      <w:pPr>
        <w:spacing w:after="12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HERNANDEZ SANDOICA, E (2004). Tendencias historiográficas actuales. Escribir historia hoy. Akal. Madrid</w:t>
      </w:r>
    </w:p>
    <w:p w:rsidR="004E48E2" w:rsidRDefault="00C04C74">
      <w:pPr>
        <w:spacing w:after="12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HOBSBAWM, E. (1991) </w:t>
      </w:r>
      <w:r>
        <w:rPr>
          <w:rFonts w:ascii="Times New Roman" w:eastAsia="Times New Roman" w:hAnsi="Times New Roman" w:cs="Times New Roman"/>
          <w:i/>
          <w:iCs/>
          <w:sz w:val="24"/>
          <w:szCs w:val="24"/>
        </w:rPr>
        <w:t>La era de la revolución (1789 -1848)</w:t>
      </w:r>
      <w:r>
        <w:rPr>
          <w:rFonts w:ascii="Times New Roman" w:eastAsia="Times New Roman" w:hAnsi="Times New Roman" w:cs="Times New Roman"/>
          <w:sz w:val="24"/>
          <w:szCs w:val="24"/>
        </w:rPr>
        <w:t xml:space="preserve"> Labor. Madrid Introducción</w:t>
      </w:r>
    </w:p>
    <w:p w:rsidR="004E48E2" w:rsidRDefault="00C04C74">
      <w:pPr>
        <w:spacing w:after="120" w:line="24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HOBSBAWM, E (2001) </w:t>
      </w:r>
      <w:r>
        <w:rPr>
          <w:rFonts w:ascii="Times New Roman" w:eastAsia="Times New Roman" w:hAnsi="Times New Roman" w:cs="Times New Roman"/>
          <w:i/>
          <w:iCs/>
          <w:sz w:val="24"/>
          <w:szCs w:val="24"/>
        </w:rPr>
        <w:t>Bandidos .</w:t>
      </w:r>
      <w:r>
        <w:rPr>
          <w:rFonts w:ascii="Times New Roman" w:eastAsia="Times New Roman" w:hAnsi="Times New Roman" w:cs="Times New Roman"/>
          <w:sz w:val="24"/>
          <w:szCs w:val="24"/>
        </w:rPr>
        <w:t xml:space="preserve"> Crítica. Barcelona.</w:t>
      </w:r>
    </w:p>
    <w:p w:rsidR="004E48E2" w:rsidRDefault="00C04C74">
      <w:pPr>
        <w:tabs>
          <w:tab w:val="left" w:pos="0"/>
        </w:tabs>
        <w:spacing w:after="120" w:line="24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LABROUSSE E y ot</w:t>
      </w:r>
      <w:r>
        <w:rPr>
          <w:rFonts w:ascii="Times New Roman" w:eastAsia="Times New Roman" w:hAnsi="Times New Roman" w:cs="Times New Roman"/>
          <w:sz w:val="24"/>
          <w:szCs w:val="24"/>
        </w:rPr>
        <w:t xml:space="preserve">ros. [1969] </w:t>
      </w:r>
      <w:r>
        <w:rPr>
          <w:rFonts w:ascii="Times New Roman" w:eastAsia="Times New Roman" w:hAnsi="Times New Roman" w:cs="Times New Roman"/>
          <w:i/>
          <w:iCs/>
          <w:sz w:val="24"/>
          <w:szCs w:val="24"/>
        </w:rPr>
        <w:t>Las estructuras y los hombres</w:t>
      </w:r>
      <w:r>
        <w:rPr>
          <w:rFonts w:ascii="Times New Roman" w:eastAsia="Times New Roman" w:hAnsi="Times New Roman" w:cs="Times New Roman"/>
          <w:sz w:val="24"/>
          <w:szCs w:val="24"/>
        </w:rPr>
        <w:t xml:space="preserve">. Ariel. Barcelona. </w:t>
      </w:r>
    </w:p>
    <w:p w:rsidR="004E48E2" w:rsidRDefault="00C04C74">
      <w:pPr>
        <w:tabs>
          <w:tab w:val="center" w:pos="3727"/>
        </w:tabs>
        <w:spacing w:after="120" w:line="240" w:lineRule="auto"/>
        <w:ind w:firstLine="0"/>
        <w:jc w:val="both"/>
        <w:rPr>
          <w:rFonts w:ascii="Times New Roman" w:eastAsia="Times New Roman" w:hAnsi="Times New Roman" w:cs="Times New Roman"/>
        </w:rPr>
      </w:pPr>
      <w:r>
        <w:rPr>
          <w:rFonts w:ascii="Times New Roman" w:eastAsia="Times New Roman" w:hAnsi="Times New Roman" w:cs="Times New Roman"/>
          <w:sz w:val="24"/>
          <w:szCs w:val="24"/>
        </w:rPr>
        <w:t xml:space="preserve">LE GOFF. J (1991) </w:t>
      </w: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1977</w:t>
      </w:r>
      <w:r>
        <w:rPr>
          <w:rFonts w:ascii="Noto Sans Symbols" w:eastAsia="Noto Sans Symbols" w:hAnsi="Noto Sans Symbols" w:cs="Noto Sans Symbols"/>
          <w:sz w:val="24"/>
          <w:szCs w:val="24"/>
        </w:rPr>
        <w:t>]</w:t>
      </w:r>
      <w:r>
        <w:rPr>
          <w:rFonts w:ascii="Times New Roman" w:eastAsia="Times New Roman" w:hAnsi="Times New Roman" w:cs="Times New Roman"/>
          <w:sz w:val="24"/>
          <w:szCs w:val="24"/>
        </w:rPr>
        <w:t xml:space="preserve"> Pensar la Historia</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Modernidad, presente, progreso. Editorial Paidós. Barcelona.</w:t>
      </w:r>
      <w:r>
        <w:rPr>
          <w:rFonts w:ascii="Times New Roman" w:eastAsia="Times New Roman" w:hAnsi="Times New Roman" w:cs="Times New Roman"/>
        </w:rPr>
        <w:t xml:space="preserve"> </w:t>
      </w:r>
    </w:p>
    <w:p w:rsidR="004E48E2" w:rsidRDefault="00C04C74">
      <w:pPr>
        <w:spacing w:after="120" w:line="240" w:lineRule="auto"/>
        <w:ind w:left="2"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LEVI, Giovanni. (1993) [1991] Sobre Microhistoria. Biblos, Buenos Aires.</w:t>
      </w:r>
    </w:p>
    <w:p w:rsidR="004E48E2" w:rsidRDefault="00C04C74">
      <w:pPr>
        <w:tabs>
          <w:tab w:val="center" w:pos="3727"/>
        </w:tabs>
        <w:spacing w:after="120" w:line="240" w:lineRule="auto"/>
        <w:ind w:firstLine="0"/>
        <w:jc w:val="both"/>
        <w:rPr>
          <w:rFonts w:ascii="Times New Roman" w:eastAsia="Times New Roman" w:hAnsi="Times New Roman" w:cs="Times New Roman"/>
        </w:rPr>
      </w:pPr>
      <w:r>
        <w:rPr>
          <w:rFonts w:ascii="Times New Roman" w:eastAsia="Times New Roman" w:hAnsi="Times New Roman" w:cs="Times New Roman"/>
        </w:rPr>
        <w:t xml:space="preserve">OJEDA LOPEDA, Pablo César (2021). “La explicación histórica. Punto de quiebre entre el relato histórico y la narración histórica”. </w:t>
      </w:r>
      <w:r>
        <w:rPr>
          <w:rFonts w:ascii="Times New Roman" w:eastAsia="Times New Roman" w:hAnsi="Times New Roman" w:cs="Times New Roman"/>
          <w:i/>
          <w:iCs/>
        </w:rPr>
        <w:t>Páginas</w:t>
      </w:r>
      <w:r>
        <w:rPr>
          <w:rFonts w:ascii="Times New Roman" w:eastAsia="Times New Roman" w:hAnsi="Times New Roman" w:cs="Times New Roman"/>
        </w:rPr>
        <w:t>, 13(31).</w:t>
      </w:r>
    </w:p>
    <w:p w:rsidR="004E48E2" w:rsidRDefault="00C04C74">
      <w:pPr>
        <w:tabs>
          <w:tab w:val="left" w:pos="0"/>
        </w:tabs>
        <w:spacing w:after="120" w:line="24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RAMA, C (1981) La historiografía como conciencia histórica. Montesinos. Barcelona. </w:t>
      </w:r>
    </w:p>
    <w:p w:rsidR="004E48E2" w:rsidRDefault="00C04C74">
      <w:pPr>
        <w:spacing w:after="120" w:line="24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REVEL, J (1993). “Paradigma de los Annales”. En PAGANO, N y BUCHBINDER, P (Comp)</w:t>
      </w:r>
      <w:r>
        <w:rPr>
          <w:rFonts w:ascii="Times New Roman" w:eastAsia="Times New Roman" w:hAnsi="Times New Roman" w:cs="Times New Roman"/>
          <w:i/>
          <w:iCs/>
          <w:sz w:val="24"/>
          <w:szCs w:val="24"/>
        </w:rPr>
        <w:t> </w:t>
      </w:r>
      <w:r>
        <w:rPr>
          <w:rFonts w:ascii="Times New Roman" w:eastAsia="Times New Roman" w:hAnsi="Times New Roman" w:cs="Times New Roman"/>
          <w:sz w:val="24"/>
          <w:szCs w:val="24"/>
        </w:rPr>
        <w:t>La historiografía francesa contemporánea, Biblos, Buenos Aires</w:t>
      </w:r>
    </w:p>
    <w:p w:rsidR="004E48E2" w:rsidRDefault="00C04C74">
      <w:pPr>
        <w:spacing w:after="120" w:line="240" w:lineRule="auto"/>
        <w:ind w:left="2"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REVEL, J (2015) [1996] Juegos De Escalas Experiencias Microanálisis</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Editorial UNSM. Buenos Aires. Introducción.</w:t>
      </w:r>
    </w:p>
    <w:p w:rsidR="004E48E2" w:rsidRDefault="00C04C74">
      <w:pPr>
        <w:tabs>
          <w:tab w:val="left" w:pos="0"/>
        </w:tabs>
        <w:spacing w:after="120" w:line="24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SCHAFF, A (1984) “Dos concepciones de la ciencia de la Historia: el positivismo y el presentismo” (Cap. 1, pp 117 -164) En SCHAFF, A </w:t>
      </w:r>
      <w:r>
        <w:rPr>
          <w:rFonts w:ascii="Times New Roman" w:eastAsia="Times New Roman" w:hAnsi="Times New Roman" w:cs="Times New Roman"/>
          <w:b/>
          <w:bCs/>
          <w:sz w:val="24"/>
          <w:szCs w:val="24"/>
        </w:rPr>
        <w:t>Historia y verdad,</w:t>
      </w:r>
      <w:r>
        <w:rPr>
          <w:rFonts w:ascii="Times New Roman" w:eastAsia="Times New Roman" w:hAnsi="Times New Roman" w:cs="Times New Roman"/>
          <w:sz w:val="24"/>
          <w:szCs w:val="24"/>
        </w:rPr>
        <w:t xml:space="preserve"> Crítica, Barcelona. Segunda parte.  </w:t>
      </w:r>
    </w:p>
    <w:p w:rsidR="004E48E2" w:rsidRDefault="00C04C74">
      <w:pPr>
        <w:tabs>
          <w:tab w:val="left" w:pos="0"/>
        </w:tabs>
        <w:spacing w:after="120" w:line="24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SHARPE, J. (1993) “Historia desde abajo” En BURKE, P (Comp) (1993) </w:t>
      </w:r>
      <w:r>
        <w:rPr>
          <w:rFonts w:ascii="Times New Roman" w:eastAsia="Times New Roman" w:hAnsi="Times New Roman" w:cs="Times New Roman"/>
          <w:sz w:val="24"/>
          <w:szCs w:val="24"/>
        </w:rPr>
        <w:t>Formas de hacer Historia. Alianza Universidad. Madrid.</w:t>
      </w:r>
    </w:p>
    <w:p w:rsidR="004E48E2" w:rsidRDefault="00C04C74">
      <w:pPr>
        <w:spacing w:after="120" w:line="24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SERNA, Justo y PONS. 2000. </w:t>
      </w:r>
      <w:r>
        <w:rPr>
          <w:rFonts w:ascii="Times New Roman" w:eastAsia="Times New Roman" w:hAnsi="Times New Roman" w:cs="Times New Roman"/>
          <w:i/>
          <w:iCs/>
          <w:sz w:val="24"/>
          <w:szCs w:val="24"/>
        </w:rPr>
        <w:t>Cómo se escribe la Micro-historia</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Frónesis. Cátedra Universitat de Valencia.</w:t>
      </w:r>
    </w:p>
    <w:p w:rsidR="004E48E2" w:rsidRDefault="00C04C74">
      <w:pPr>
        <w:spacing w:after="120" w:line="24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THOMPSON, E (1995) [1991] </w:t>
      </w:r>
      <w:r>
        <w:rPr>
          <w:rFonts w:ascii="Times New Roman" w:eastAsia="Times New Roman" w:hAnsi="Times New Roman" w:cs="Times New Roman"/>
          <w:i/>
          <w:iCs/>
          <w:sz w:val="24"/>
          <w:szCs w:val="24"/>
        </w:rPr>
        <w:t>Costumbres en común</w:t>
      </w:r>
      <w:r>
        <w:rPr>
          <w:rFonts w:ascii="Times New Roman" w:eastAsia="Times New Roman" w:hAnsi="Times New Roman" w:cs="Times New Roman"/>
          <w:sz w:val="24"/>
          <w:szCs w:val="24"/>
        </w:rPr>
        <w:t>. Crítica. Barcelona</w:t>
      </w:r>
    </w:p>
    <w:p w:rsidR="004E48E2" w:rsidRDefault="00C04C74">
      <w:pPr>
        <w:spacing w:after="120" w:line="240" w:lineRule="auto"/>
        <w:ind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WAGNER, D (2008). “Entre prólo</w:t>
      </w:r>
      <w:r>
        <w:rPr>
          <w:rFonts w:ascii="Times New Roman" w:eastAsia="Times New Roman" w:hAnsi="Times New Roman" w:cs="Times New Roman"/>
          <w:sz w:val="24"/>
          <w:szCs w:val="24"/>
        </w:rPr>
        <w:t>gos, prefacios e índices. Aportes para el abordaje de textos disciplinares”. En Cronía. Revista de Investigación de la Facultad de Ciencias Humanas. UNRC. Río Cuarto</w:t>
      </w:r>
    </w:p>
    <w:p w:rsidR="004E48E2" w:rsidRDefault="004E48E2">
      <w:pPr>
        <w:spacing w:after="0" w:line="240" w:lineRule="auto"/>
        <w:ind w:hanging="2"/>
        <w:jc w:val="both"/>
        <w:rPr>
          <w:rFonts w:ascii="Times New Roman" w:eastAsia="Times New Roman" w:hAnsi="Times New Roman" w:cs="Times New Roman"/>
          <w:sz w:val="24"/>
          <w:szCs w:val="24"/>
        </w:rPr>
      </w:pPr>
    </w:p>
    <w:p w:rsidR="004E48E2" w:rsidRDefault="00C04C74">
      <w:pPr>
        <w:numPr>
          <w:ilvl w:val="0"/>
          <w:numId w:val="17"/>
        </w:numPr>
        <w:pBdr>
          <w:top w:val="nil"/>
          <w:left w:val="nil"/>
          <w:bottom w:val="nil"/>
          <w:right w:val="nil"/>
          <w:between w:val="nil"/>
        </w:pBdr>
        <w:tabs>
          <w:tab w:val="left" w:pos="426"/>
        </w:tabs>
        <w:spacing w:before="120" w:after="12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Cronograma de Clases: seis horas presenciales por semana </w:t>
      </w:r>
    </w:p>
    <w:p w:rsidR="004E48E2" w:rsidRDefault="00C04C74">
      <w:pPr>
        <w:pBdr>
          <w:top w:val="nil"/>
          <w:left w:val="nil"/>
          <w:bottom w:val="nil"/>
          <w:right w:val="nil"/>
          <w:between w:val="nil"/>
        </w:pBdr>
        <w:spacing w:before="120" w:after="120" w:line="240" w:lineRule="auto"/>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Unidad 1: 2 semanas (1 durante Modulo ICA-Ingreso 2025) </w:t>
      </w:r>
    </w:p>
    <w:p w:rsidR="004E48E2" w:rsidRDefault="00C04C74">
      <w:pPr>
        <w:pBdr>
          <w:top w:val="nil"/>
          <w:left w:val="nil"/>
          <w:bottom w:val="nil"/>
          <w:right w:val="nil"/>
          <w:between w:val="nil"/>
        </w:pBdr>
        <w:spacing w:before="120" w:after="120" w:line="240" w:lineRule="auto"/>
        <w:ind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Unidad 2: 2 semanas</w:t>
      </w:r>
    </w:p>
    <w:p w:rsidR="004E48E2" w:rsidRDefault="00C04C74">
      <w:pPr>
        <w:pBdr>
          <w:top w:val="nil"/>
          <w:left w:val="nil"/>
          <w:bottom w:val="nil"/>
          <w:right w:val="nil"/>
          <w:between w:val="nil"/>
        </w:pBdr>
        <w:spacing w:before="120" w:after="120" w:line="240" w:lineRule="auto"/>
        <w:ind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Unidad 3: 3 semanas </w:t>
      </w:r>
    </w:p>
    <w:p w:rsidR="004E48E2" w:rsidRDefault="00C04C74">
      <w:pPr>
        <w:pBdr>
          <w:top w:val="nil"/>
          <w:left w:val="nil"/>
          <w:bottom w:val="nil"/>
          <w:right w:val="nil"/>
          <w:between w:val="nil"/>
        </w:pBdr>
        <w:spacing w:before="120" w:after="120" w:line="240" w:lineRule="auto"/>
        <w:ind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Unidad 4: 3 semanas </w:t>
      </w:r>
    </w:p>
    <w:p w:rsidR="004E48E2" w:rsidRDefault="00C04C74">
      <w:pPr>
        <w:pBdr>
          <w:top w:val="nil"/>
          <w:left w:val="nil"/>
          <w:bottom w:val="nil"/>
          <w:right w:val="nil"/>
          <w:between w:val="nil"/>
        </w:pBdr>
        <w:spacing w:before="120" w:after="120" w:line="240" w:lineRule="auto"/>
        <w:ind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Unidad 5: 3 semana  </w:t>
      </w:r>
    </w:p>
    <w:p w:rsidR="004E48E2" w:rsidRDefault="00C04C74">
      <w:pPr>
        <w:pBdr>
          <w:top w:val="nil"/>
          <w:left w:val="nil"/>
          <w:bottom w:val="nil"/>
          <w:right w:val="nil"/>
          <w:between w:val="nil"/>
        </w:pBdr>
        <w:spacing w:before="120" w:after="120" w:line="240" w:lineRule="auto"/>
        <w:ind w:hanging="2"/>
        <w:rPr>
          <w:rFonts w:ascii="Times New Roman" w:eastAsia="Times New Roman" w:hAnsi="Times New Roman" w:cs="Times New Roman"/>
          <w:color w:val="000000"/>
        </w:rPr>
      </w:pPr>
      <w:r>
        <w:rPr>
          <w:rFonts w:ascii="Times New Roman" w:eastAsia="Times New Roman" w:hAnsi="Times New Roman" w:cs="Times New Roman"/>
          <w:color w:val="000000"/>
        </w:rPr>
        <w:t xml:space="preserve">Evaluaciones Parciales y recuperatorios: 1 semana </w:t>
      </w:r>
    </w:p>
    <w:p w:rsidR="004E48E2" w:rsidRDefault="004E48E2">
      <w:pPr>
        <w:pBdr>
          <w:top w:val="nil"/>
          <w:left w:val="nil"/>
          <w:bottom w:val="nil"/>
          <w:right w:val="nil"/>
          <w:between w:val="nil"/>
        </w:pBdr>
        <w:spacing w:before="120" w:after="120" w:line="240" w:lineRule="auto"/>
        <w:ind w:hanging="2"/>
        <w:rPr>
          <w:rFonts w:ascii="Times New Roman" w:eastAsia="Times New Roman" w:hAnsi="Times New Roman" w:cs="Times New Roman"/>
          <w:b/>
          <w:bCs/>
        </w:rPr>
      </w:pPr>
    </w:p>
    <w:p w:rsidR="004E48E2" w:rsidRDefault="00C04C74">
      <w:pPr>
        <w:pBdr>
          <w:top w:val="nil"/>
          <w:left w:val="nil"/>
          <w:bottom w:val="nil"/>
          <w:right w:val="nil"/>
          <w:between w:val="nil"/>
        </w:pBdr>
        <w:spacing w:before="120" w:after="120" w:line="240" w:lineRule="auto"/>
        <w:ind w:hanging="2"/>
        <w:rPr>
          <w:rFonts w:ascii="Times New Roman" w:eastAsia="Times New Roman" w:hAnsi="Times New Roman" w:cs="Times New Roman"/>
        </w:rPr>
      </w:pPr>
      <w:r>
        <w:rPr>
          <w:rFonts w:ascii="Times New Roman" w:eastAsia="Times New Roman" w:hAnsi="Times New Roman" w:cs="Times New Roman"/>
          <w:b/>
          <w:bCs/>
        </w:rPr>
        <w:t xml:space="preserve">7.1 Cronograma Detallado: </w:t>
      </w:r>
      <w:r>
        <w:rPr>
          <w:rFonts w:ascii="Times New Roman" w:eastAsia="Times New Roman" w:hAnsi="Times New Roman" w:cs="Times New Roman"/>
        </w:rPr>
        <w:t>de clases prácticas con bibliografía indicada (</w:t>
      </w:r>
      <w:r>
        <w:rPr>
          <w:rFonts w:ascii="Times New Roman" w:eastAsia="Times New Roman" w:hAnsi="Times New Roman" w:cs="Times New Roman"/>
          <w:b/>
          <w:bCs/>
        </w:rPr>
        <w:t>Ver Anexo)</w:t>
      </w:r>
      <w:r>
        <w:rPr>
          <w:rFonts w:ascii="Times New Roman" w:eastAsia="Times New Roman" w:hAnsi="Times New Roman" w:cs="Times New Roman"/>
        </w:rPr>
        <w:t xml:space="preserve"> </w:t>
      </w:r>
    </w:p>
    <w:p w:rsidR="004E48E2" w:rsidRDefault="004E48E2">
      <w:pPr>
        <w:pBdr>
          <w:top w:val="nil"/>
          <w:left w:val="nil"/>
          <w:bottom w:val="nil"/>
          <w:right w:val="nil"/>
          <w:between w:val="nil"/>
        </w:pBdr>
        <w:spacing w:before="120" w:after="120" w:line="240" w:lineRule="auto"/>
        <w:ind w:hanging="2"/>
        <w:rPr>
          <w:rFonts w:ascii="Times New Roman" w:eastAsia="Times New Roman" w:hAnsi="Times New Roman" w:cs="Times New Roman"/>
          <w:b/>
          <w:bCs/>
          <w:color w:val="000000"/>
        </w:rPr>
      </w:pPr>
    </w:p>
    <w:p w:rsidR="004E48E2" w:rsidRDefault="00C04C74">
      <w:pPr>
        <w:tabs>
          <w:tab w:val="right" w:pos="8504"/>
        </w:tabs>
        <w:spacing w:line="240" w:lineRule="auto"/>
        <w:ind w:hanging="2"/>
        <w:rPr>
          <w:rFonts w:ascii="Times New Roman" w:eastAsia="Times New Roman" w:hAnsi="Times New Roman" w:cs="Times New Roman"/>
        </w:rPr>
      </w:pPr>
      <w:r>
        <w:rPr>
          <w:rFonts w:ascii="Times New Roman" w:eastAsia="Times New Roman" w:hAnsi="Times New Roman" w:cs="Times New Roman"/>
          <w:b/>
          <w:bCs/>
        </w:rPr>
        <w:t xml:space="preserve">8. HORARIOS DE CLASES Y DE CONSULTAS </w:t>
      </w:r>
    </w:p>
    <w:p w:rsidR="004E48E2" w:rsidRDefault="00C04C74">
      <w:pPr>
        <w:tabs>
          <w:tab w:val="right" w:pos="8504"/>
        </w:tabs>
        <w:spacing w:after="120" w:line="240" w:lineRule="auto"/>
        <w:ind w:hanging="2"/>
        <w:rPr>
          <w:rFonts w:ascii="Times New Roman" w:eastAsia="Times New Roman" w:hAnsi="Times New Roman" w:cs="Times New Roman"/>
        </w:rPr>
      </w:pPr>
      <w:r>
        <w:rPr>
          <w:rFonts w:ascii="Times New Roman" w:eastAsia="Times New Roman" w:hAnsi="Times New Roman" w:cs="Times New Roman"/>
          <w:b/>
          <w:bCs/>
        </w:rPr>
        <w:t>Horarios de Clases:</w:t>
      </w:r>
    </w:p>
    <w:p w:rsidR="004E48E2" w:rsidRDefault="00C04C74">
      <w:pPr>
        <w:tabs>
          <w:tab w:val="right" w:pos="8504"/>
        </w:tabs>
        <w:spacing w:after="120" w:line="240" w:lineRule="auto"/>
        <w:ind w:hanging="2"/>
        <w:rPr>
          <w:rFonts w:ascii="Times New Roman" w:eastAsia="Times New Roman" w:hAnsi="Times New Roman" w:cs="Times New Roman"/>
        </w:rPr>
      </w:pPr>
      <w:r>
        <w:rPr>
          <w:rFonts w:ascii="Times New Roman" w:eastAsia="Times New Roman" w:hAnsi="Times New Roman" w:cs="Times New Roman"/>
        </w:rPr>
        <w:t>Lunes de 16 a 18 hs. Teóricos</w:t>
      </w:r>
    </w:p>
    <w:p w:rsidR="004E48E2" w:rsidRDefault="00C04C74">
      <w:pPr>
        <w:tabs>
          <w:tab w:val="right" w:pos="8504"/>
        </w:tabs>
        <w:spacing w:after="120" w:line="240" w:lineRule="auto"/>
        <w:ind w:hanging="2"/>
        <w:rPr>
          <w:rFonts w:ascii="Times New Roman" w:eastAsia="Times New Roman" w:hAnsi="Times New Roman" w:cs="Times New Roman"/>
        </w:rPr>
      </w:pPr>
      <w:r>
        <w:rPr>
          <w:rFonts w:ascii="Times New Roman" w:eastAsia="Times New Roman" w:hAnsi="Times New Roman" w:cs="Times New Roman"/>
        </w:rPr>
        <w:t xml:space="preserve">Martes de 16 a 18 hs. Teóricos  </w:t>
      </w:r>
    </w:p>
    <w:p w:rsidR="004E48E2" w:rsidRDefault="00C04C74">
      <w:pPr>
        <w:tabs>
          <w:tab w:val="right" w:pos="8504"/>
        </w:tabs>
        <w:spacing w:after="120" w:line="240" w:lineRule="auto"/>
        <w:ind w:hanging="2"/>
        <w:rPr>
          <w:rFonts w:ascii="Times New Roman" w:eastAsia="Times New Roman" w:hAnsi="Times New Roman" w:cs="Times New Roman"/>
        </w:rPr>
      </w:pPr>
      <w:r>
        <w:rPr>
          <w:rFonts w:ascii="Times New Roman" w:eastAsia="Times New Roman" w:hAnsi="Times New Roman" w:cs="Times New Roman"/>
        </w:rPr>
        <w:t xml:space="preserve">Martes de 14 a 14 hs  Prácticos </w:t>
      </w:r>
    </w:p>
    <w:p w:rsidR="004E48E2" w:rsidRDefault="004E48E2">
      <w:pPr>
        <w:tabs>
          <w:tab w:val="right" w:pos="8504"/>
        </w:tabs>
        <w:spacing w:after="0" w:line="240" w:lineRule="auto"/>
        <w:jc w:val="both"/>
        <w:rPr>
          <w:rFonts w:ascii="Times New Roman" w:eastAsia="Times New Roman" w:hAnsi="Times New Roman" w:cs="Times New Roman"/>
          <w:sz w:val="8"/>
          <w:szCs w:val="8"/>
        </w:rPr>
      </w:pPr>
    </w:p>
    <w:p w:rsidR="004E48E2" w:rsidRDefault="004E48E2">
      <w:pPr>
        <w:tabs>
          <w:tab w:val="right" w:pos="8504"/>
        </w:tabs>
        <w:spacing w:after="0" w:line="240" w:lineRule="auto"/>
        <w:ind w:hanging="2"/>
        <w:jc w:val="both"/>
        <w:rPr>
          <w:rFonts w:ascii="Times New Roman" w:eastAsia="Times New Roman" w:hAnsi="Times New Roman" w:cs="Times New Roman"/>
        </w:rPr>
      </w:pPr>
    </w:p>
    <w:p w:rsidR="004E48E2" w:rsidRDefault="00C04C74">
      <w:pPr>
        <w:tabs>
          <w:tab w:val="right" w:pos="8504"/>
        </w:tabs>
        <w:spacing w:after="0" w:line="240" w:lineRule="auto"/>
        <w:ind w:hanging="2"/>
        <w:jc w:val="both"/>
        <w:rPr>
          <w:rFonts w:ascii="Times New Roman" w:eastAsia="Times New Roman" w:hAnsi="Times New Roman" w:cs="Times New Roman"/>
        </w:rPr>
      </w:pPr>
      <w:r>
        <w:rPr>
          <w:rFonts w:ascii="Times New Roman" w:eastAsia="Times New Roman" w:hAnsi="Times New Roman" w:cs="Times New Roman"/>
          <w:b/>
          <w:bCs/>
        </w:rPr>
        <w:t xml:space="preserve">Consultas: </w:t>
      </w:r>
    </w:p>
    <w:p w:rsidR="004E48E2" w:rsidRDefault="004E48E2">
      <w:pPr>
        <w:tabs>
          <w:tab w:val="right" w:pos="8504"/>
        </w:tabs>
        <w:spacing w:after="0" w:line="240" w:lineRule="auto"/>
        <w:ind w:hanging="2"/>
        <w:jc w:val="both"/>
        <w:rPr>
          <w:rFonts w:ascii="Times New Roman" w:eastAsia="Times New Roman" w:hAnsi="Times New Roman" w:cs="Times New Roman"/>
        </w:rPr>
      </w:pPr>
    </w:p>
    <w:p w:rsidR="004E48E2" w:rsidRDefault="00C04C74">
      <w:pPr>
        <w:tabs>
          <w:tab w:val="right" w:pos="8504"/>
        </w:tabs>
        <w:spacing w:after="0" w:line="240" w:lineRule="auto"/>
        <w:ind w:hanging="2"/>
        <w:jc w:val="both"/>
        <w:rPr>
          <w:rFonts w:ascii="Times New Roman" w:eastAsia="Times New Roman" w:hAnsi="Times New Roman" w:cs="Times New Roman"/>
        </w:rPr>
      </w:pPr>
      <w:r>
        <w:rPr>
          <w:rFonts w:ascii="Times New Roman" w:eastAsia="Times New Roman" w:hAnsi="Times New Roman" w:cs="Times New Roman"/>
        </w:rPr>
        <w:t xml:space="preserve">Prof. Daniela M Wagner: </w:t>
      </w:r>
      <w:hyperlink r:id="rId15">
        <w:r>
          <w:rPr>
            <w:rFonts w:ascii="Times New Roman" w:eastAsia="Times New Roman" w:hAnsi="Times New Roman" w:cs="Times New Roman"/>
            <w:color w:val="0000FF"/>
            <w:u w:val="single"/>
          </w:rPr>
          <w:t>dwagner@hum.unrc.edu.ar</w:t>
        </w:r>
      </w:hyperlink>
      <w:r>
        <w:rPr>
          <w:rFonts w:ascii="Times New Roman" w:eastAsia="Times New Roman" w:hAnsi="Times New Roman" w:cs="Times New Roman"/>
        </w:rPr>
        <w:t>.  Jueves de 10 a 12 horas Cub 25 Facultad de Ciencias Humanas (Primer cuatrimestre)</w:t>
      </w:r>
    </w:p>
    <w:p w:rsidR="004E48E2" w:rsidRDefault="004E48E2">
      <w:pPr>
        <w:tabs>
          <w:tab w:val="right" w:pos="8504"/>
        </w:tabs>
        <w:spacing w:after="0" w:line="240" w:lineRule="auto"/>
        <w:ind w:hanging="2"/>
        <w:jc w:val="both"/>
        <w:rPr>
          <w:rFonts w:ascii="Times New Roman" w:eastAsia="Times New Roman" w:hAnsi="Times New Roman" w:cs="Times New Roman"/>
        </w:rPr>
      </w:pPr>
    </w:p>
    <w:p w:rsidR="004E48E2" w:rsidRDefault="00C04C74">
      <w:pPr>
        <w:tabs>
          <w:tab w:val="right" w:pos="8504"/>
        </w:tabs>
        <w:spacing w:after="0" w:line="240" w:lineRule="auto"/>
        <w:ind w:hanging="2"/>
        <w:jc w:val="both"/>
        <w:rPr>
          <w:rFonts w:ascii="Times New Roman" w:eastAsia="Times New Roman" w:hAnsi="Times New Roman" w:cs="Times New Roman"/>
        </w:rPr>
      </w:pPr>
      <w:r>
        <w:rPr>
          <w:rFonts w:ascii="Times New Roman" w:eastAsia="Times New Roman" w:hAnsi="Times New Roman" w:cs="Times New Roman"/>
        </w:rPr>
        <w:t>Prof. Denis Reinoso: Martes de 10:30  a 12:30 hs. Cubículo 25 Facultad de Ciencias Humanas.</w:t>
      </w:r>
    </w:p>
    <w:p w:rsidR="004E48E2" w:rsidRDefault="00C04C74">
      <w:pPr>
        <w:tabs>
          <w:tab w:val="right" w:pos="8504"/>
        </w:tabs>
        <w:spacing w:after="0" w:line="240" w:lineRule="auto"/>
        <w:ind w:hanging="2"/>
        <w:jc w:val="both"/>
        <w:rPr>
          <w:rFonts w:ascii="Times New Roman" w:eastAsia="Times New Roman" w:hAnsi="Times New Roman" w:cs="Times New Roman"/>
        </w:rPr>
      </w:pPr>
      <w:hyperlink r:id="rId16">
        <w:r>
          <w:rPr>
            <w:rFonts w:ascii="Times New Roman" w:eastAsia="Times New Roman" w:hAnsi="Times New Roman" w:cs="Times New Roman"/>
            <w:color w:val="0000FF"/>
            <w:u w:val="single"/>
          </w:rPr>
          <w:t>denisreinoso@gmail.com</w:t>
        </w:r>
      </w:hyperlink>
    </w:p>
    <w:p w:rsidR="004E48E2" w:rsidRDefault="00C04C74">
      <w:pPr>
        <w:spacing w:line="240" w:lineRule="auto"/>
        <w:ind w:hanging="2"/>
        <w:jc w:val="both"/>
        <w:rPr>
          <w:rFonts w:ascii="Times New Roman" w:eastAsia="Times New Roman" w:hAnsi="Times New Roman" w:cs="Times New Roman"/>
        </w:rPr>
      </w:pPr>
      <w:r>
        <w:rPr>
          <w:rFonts w:ascii="Times New Roman" w:eastAsia="Times New Roman" w:hAnsi="Times New Roman" w:cs="Times New Roman"/>
          <w:noProof/>
          <w:lang w:val="en-US"/>
        </w:rPr>
        <w:drawing>
          <wp:inline distT="0" distB="0" distL="114300" distR="114300">
            <wp:extent cx="1505585" cy="1187450"/>
            <wp:effectExtent l="0" t="0" r="0" b="0"/>
            <wp:docPr id="104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7"/>
                    <a:srcRect/>
                    <a:stretch>
                      <a:fillRect/>
                    </a:stretch>
                  </pic:blipFill>
                  <pic:spPr>
                    <a:xfrm>
                      <a:off x="0" y="0"/>
                      <a:ext cx="1505585" cy="1187450"/>
                    </a:xfrm>
                    <a:prstGeom prst="rect">
                      <a:avLst/>
                    </a:prstGeom>
                    <a:ln/>
                  </pic:spPr>
                </pic:pic>
              </a:graphicData>
            </a:graphic>
          </wp:inline>
        </w:drawing>
      </w:r>
    </w:p>
    <w:p w:rsidR="004E48E2" w:rsidRDefault="00C04C74">
      <w:pPr>
        <w:spacing w:line="240" w:lineRule="auto"/>
        <w:ind w:hanging="2"/>
        <w:jc w:val="both"/>
        <w:rPr>
          <w:rFonts w:ascii="Times New Roman" w:eastAsia="Times New Roman" w:hAnsi="Times New Roman" w:cs="Times New Roman"/>
        </w:rPr>
      </w:pPr>
      <w:r>
        <w:rPr>
          <w:rFonts w:ascii="Times New Roman" w:eastAsia="Times New Roman" w:hAnsi="Times New Roman" w:cs="Times New Roman"/>
        </w:rPr>
        <w:t>Firma del Profesor Responsable:</w:t>
      </w:r>
    </w:p>
    <w:p w:rsidR="004E48E2" w:rsidRDefault="00C04C74">
      <w:pPr>
        <w:spacing w:line="240" w:lineRule="auto"/>
        <w:ind w:hanging="2"/>
        <w:jc w:val="both"/>
        <w:rPr>
          <w:rFonts w:ascii="Times New Roman" w:eastAsia="Times New Roman" w:hAnsi="Times New Roman" w:cs="Times New Roman"/>
        </w:rPr>
      </w:pPr>
      <w:r>
        <w:rPr>
          <w:rFonts w:ascii="Times New Roman" w:eastAsia="Times New Roman" w:hAnsi="Times New Roman" w:cs="Times New Roman"/>
        </w:rPr>
        <w:t xml:space="preserve">Aclaración de la firma: Dra Daniela M Wagner </w:t>
      </w:r>
    </w:p>
    <w:p w:rsidR="004E48E2" w:rsidRDefault="00C04C74">
      <w:pPr>
        <w:spacing w:line="240" w:lineRule="auto"/>
        <w:ind w:hanging="2"/>
        <w:jc w:val="both"/>
        <w:rPr>
          <w:rFonts w:ascii="Times New Roman" w:eastAsia="Times New Roman" w:hAnsi="Times New Roman" w:cs="Times New Roman"/>
        </w:rPr>
      </w:pPr>
      <w:r>
        <w:rPr>
          <w:rFonts w:ascii="Times New Roman" w:eastAsia="Times New Roman" w:hAnsi="Times New Roman" w:cs="Times New Roman"/>
        </w:rPr>
        <w:t>Lugar y fecha: Rio Cuarto, abril 2026</w:t>
      </w:r>
    </w:p>
    <w:p w:rsidR="004E48E2" w:rsidRDefault="004E48E2">
      <w:pPr>
        <w:spacing w:line="240" w:lineRule="auto"/>
        <w:ind w:hanging="2"/>
        <w:jc w:val="both"/>
        <w:rPr>
          <w:rFonts w:ascii="Times New Roman" w:eastAsia="Times New Roman" w:hAnsi="Times New Roman" w:cs="Times New Roman"/>
          <w:b/>
          <w:bCs/>
        </w:rPr>
      </w:pPr>
    </w:p>
    <w:p w:rsidR="004E48E2" w:rsidRDefault="00C04C74">
      <w:pPr>
        <w:spacing w:before="120" w:after="0" w:line="240" w:lineRule="auto"/>
        <w:ind w:hanging="2"/>
        <w:jc w:val="both"/>
        <w:rPr>
          <w:rFonts w:ascii="Times New Roman" w:eastAsia="Times New Roman" w:hAnsi="Times New Roman" w:cs="Times New Roman"/>
        </w:rPr>
      </w:pPr>
      <w:r>
        <w:rPr>
          <w:rFonts w:ascii="Times New Roman" w:eastAsia="Times New Roman" w:hAnsi="Times New Roman" w:cs="Times New Roman"/>
          <w:b/>
          <w:bCs/>
        </w:rPr>
        <w:t xml:space="preserve">OBSERVACIONES: </w:t>
      </w:r>
      <w:r>
        <w:rPr>
          <w:rFonts w:ascii="Times New Roman" w:eastAsia="Times New Roman" w:hAnsi="Times New Roman" w:cs="Times New Roman"/>
        </w:rPr>
        <w:t>La unidad 1 de esta asignatura fue desarrollada durante las actividades de Ingreso 2026, dentro del Módulo Iniciación a la Cultura Académica (ICA).</w:t>
      </w:r>
    </w:p>
    <w:p w:rsidR="004E48E2" w:rsidRDefault="004E48E2">
      <w:pPr>
        <w:ind w:firstLine="0"/>
        <w:jc w:val="center"/>
      </w:pPr>
    </w:p>
    <w:p w:rsidR="004E48E2" w:rsidRDefault="004E48E2">
      <w:pPr>
        <w:ind w:firstLine="0"/>
        <w:jc w:val="center"/>
      </w:pPr>
    </w:p>
    <w:p w:rsidR="004E48E2" w:rsidRDefault="004E48E2">
      <w:pPr>
        <w:ind w:firstLine="0"/>
        <w:jc w:val="center"/>
      </w:pPr>
    </w:p>
    <w:p w:rsidR="004E48E2" w:rsidRDefault="00C04C74">
      <w:pPr>
        <w:ind w:firstLine="0"/>
        <w:jc w:val="center"/>
        <w:rPr>
          <w:b/>
          <w:bCs/>
          <w:sz w:val="24"/>
          <w:szCs w:val="24"/>
        </w:rPr>
      </w:pPr>
      <w:r>
        <w:rPr>
          <w:b/>
          <w:bCs/>
          <w:sz w:val="24"/>
          <w:szCs w:val="24"/>
        </w:rPr>
        <w:t>ANEXO</w:t>
      </w:r>
    </w:p>
    <w:p w:rsidR="004E48E2" w:rsidRDefault="00C04C74">
      <w:pPr>
        <w:spacing w:after="0" w:line="240" w:lineRule="auto"/>
        <w:ind w:firstLine="0"/>
        <w:rPr>
          <w:b/>
          <w:bCs/>
          <w:sz w:val="28"/>
          <w:szCs w:val="28"/>
        </w:rPr>
      </w:pPr>
      <w:r>
        <w:rPr>
          <w:b/>
          <w:bCs/>
          <w:sz w:val="28"/>
          <w:szCs w:val="28"/>
        </w:rPr>
        <w:t>Cronograma Detallado: Trabajos Prácticos con Bibliografía Obligatoria</w:t>
      </w:r>
    </w:p>
    <w:p w:rsidR="004E48E2" w:rsidRDefault="004E48E2">
      <w:pPr>
        <w:spacing w:after="0" w:line="240" w:lineRule="auto"/>
        <w:ind w:firstLine="0"/>
        <w:rPr>
          <w:sz w:val="24"/>
          <w:szCs w:val="24"/>
        </w:rPr>
      </w:pPr>
    </w:p>
    <w:p w:rsidR="004E48E2" w:rsidRDefault="00C04C74">
      <w:pPr>
        <w:spacing w:after="0" w:line="240" w:lineRule="auto"/>
        <w:ind w:firstLine="0"/>
        <w:jc w:val="both"/>
        <w:rPr>
          <w:sz w:val="24"/>
          <w:szCs w:val="24"/>
        </w:rPr>
      </w:pPr>
      <w:r>
        <w:rPr>
          <w:b/>
          <w:bCs/>
          <w:sz w:val="24"/>
          <w:szCs w:val="24"/>
        </w:rPr>
        <w:t>7/4 TP 1</w:t>
      </w:r>
      <w:r>
        <w:rPr>
          <w:sz w:val="24"/>
          <w:szCs w:val="24"/>
        </w:rPr>
        <w:t xml:space="preserve">. </w:t>
      </w:r>
      <w:r>
        <w:rPr>
          <w:b/>
          <w:bCs/>
          <w:sz w:val="24"/>
          <w:szCs w:val="24"/>
        </w:rPr>
        <w:t>En los orígenes: mito, rito e historia</w:t>
      </w:r>
      <w:r>
        <w:rPr>
          <w:sz w:val="24"/>
          <w:szCs w:val="24"/>
        </w:rPr>
        <w:t xml:space="preserve"> (Integración de las temáticas trabajadas en el EJE III del módulo de ingreso a la carrera).</w:t>
      </w:r>
    </w:p>
    <w:p w:rsidR="004E48E2" w:rsidRDefault="00C04C74">
      <w:pPr>
        <w:numPr>
          <w:ilvl w:val="0"/>
          <w:numId w:val="7"/>
        </w:numPr>
        <w:spacing w:after="0" w:line="240" w:lineRule="auto"/>
        <w:jc w:val="both"/>
        <w:rPr>
          <w:sz w:val="24"/>
          <w:szCs w:val="24"/>
        </w:rPr>
      </w:pPr>
      <w:r>
        <w:rPr>
          <w:sz w:val="24"/>
          <w:szCs w:val="24"/>
        </w:rPr>
        <w:t>Selección de autores vistos en el módulo del ingreso</w:t>
      </w:r>
    </w:p>
    <w:p w:rsidR="004E48E2" w:rsidRDefault="00C04C74">
      <w:pPr>
        <w:spacing w:after="120" w:line="240" w:lineRule="auto"/>
        <w:ind w:firstLine="0"/>
        <w:jc w:val="both"/>
        <w:rPr>
          <w:sz w:val="24"/>
          <w:szCs w:val="24"/>
        </w:rPr>
      </w:pPr>
      <w:r>
        <w:rPr>
          <w:sz w:val="24"/>
          <w:szCs w:val="24"/>
        </w:rPr>
        <w:t xml:space="preserve">       -  FLORESCANO, E (20013) “Mito, rito e historia” (pp.121-134) En </w:t>
      </w:r>
      <w:r>
        <w:rPr>
          <w:sz w:val="24"/>
          <w:szCs w:val="24"/>
        </w:rPr>
        <w:t>FLORESCANO, E (20013) La función social de la Historia. F.C.E México</w:t>
      </w:r>
    </w:p>
    <w:p w:rsidR="004E48E2" w:rsidRDefault="004E48E2">
      <w:pPr>
        <w:spacing w:after="120" w:line="240" w:lineRule="auto"/>
        <w:ind w:firstLine="0"/>
        <w:jc w:val="both"/>
        <w:rPr>
          <w:b/>
          <w:bCs/>
          <w:sz w:val="24"/>
          <w:szCs w:val="24"/>
        </w:rPr>
      </w:pPr>
    </w:p>
    <w:p w:rsidR="004E48E2" w:rsidRDefault="00C04C74">
      <w:pPr>
        <w:spacing w:after="120" w:line="240" w:lineRule="auto"/>
        <w:ind w:firstLine="0"/>
        <w:jc w:val="both"/>
        <w:rPr>
          <w:b/>
          <w:bCs/>
          <w:sz w:val="24"/>
          <w:szCs w:val="24"/>
        </w:rPr>
      </w:pPr>
      <w:r>
        <w:rPr>
          <w:b/>
          <w:bCs/>
          <w:sz w:val="24"/>
          <w:szCs w:val="24"/>
        </w:rPr>
        <w:t>14/4 TP2: Fundamentos de la construcción historiográfica: la Memoria entre la oralidad y la escritura.</w:t>
      </w:r>
    </w:p>
    <w:p w:rsidR="004E48E2" w:rsidRDefault="00C04C74">
      <w:pPr>
        <w:numPr>
          <w:ilvl w:val="0"/>
          <w:numId w:val="5"/>
        </w:numPr>
        <w:spacing w:after="120" w:line="240" w:lineRule="auto"/>
        <w:jc w:val="both"/>
        <w:rPr>
          <w:b/>
          <w:bCs/>
          <w:sz w:val="24"/>
          <w:szCs w:val="24"/>
        </w:rPr>
      </w:pPr>
      <w:r>
        <w:rPr>
          <w:sz w:val="24"/>
          <w:szCs w:val="24"/>
        </w:rPr>
        <w:t>FLORESCANO, E. (2013). “El redescubrimiento de la narrativa oral y su impacto en la reconstrucción del pasado” (pp. 102-120)</w:t>
      </w:r>
    </w:p>
    <w:p w:rsidR="004E48E2" w:rsidRDefault="00C04C74">
      <w:pPr>
        <w:spacing w:after="0"/>
        <w:ind w:firstLine="0"/>
        <w:jc w:val="both"/>
        <w:rPr>
          <w:sz w:val="24"/>
          <w:szCs w:val="24"/>
        </w:rPr>
      </w:pPr>
      <w:bookmarkStart w:id="12" w:name="_heading=h.qqwlsdgplz9q" w:colFirst="0" w:colLast="0"/>
      <w:bookmarkEnd w:id="12"/>
      <w:r>
        <w:rPr>
          <w:b/>
          <w:bCs/>
          <w:sz w:val="24"/>
          <w:szCs w:val="24"/>
        </w:rPr>
        <w:t>Fuentes:</w:t>
      </w:r>
      <w:r>
        <w:rPr>
          <w:b/>
          <w:bCs/>
          <w:i/>
          <w:iCs/>
          <w:sz w:val="24"/>
          <w:szCs w:val="24"/>
        </w:rPr>
        <w:t xml:space="preserve"> </w:t>
      </w:r>
    </w:p>
    <w:p w:rsidR="004E48E2" w:rsidRDefault="00C04C74">
      <w:pPr>
        <w:numPr>
          <w:ilvl w:val="0"/>
          <w:numId w:val="5"/>
        </w:numPr>
        <w:spacing w:after="0" w:line="240" w:lineRule="auto"/>
        <w:jc w:val="both"/>
        <w:rPr>
          <w:rFonts w:ascii="Times New Roman" w:eastAsia="Times New Roman" w:hAnsi="Times New Roman" w:cs="Times New Roman"/>
          <w:sz w:val="24"/>
          <w:szCs w:val="24"/>
        </w:rPr>
      </w:pPr>
      <w:r>
        <w:rPr>
          <w:sz w:val="24"/>
          <w:szCs w:val="24"/>
        </w:rPr>
        <w:t>HERÓDOTO.</w:t>
      </w:r>
      <w:r>
        <w:rPr>
          <w:b/>
          <w:bCs/>
          <w:sz w:val="24"/>
          <w:szCs w:val="24"/>
        </w:rPr>
        <w:t xml:space="preserve"> </w:t>
      </w:r>
      <w:r>
        <w:rPr>
          <w:i/>
          <w:iCs/>
          <w:sz w:val="24"/>
          <w:szCs w:val="24"/>
        </w:rPr>
        <w:t xml:space="preserve">Historias, </w:t>
      </w:r>
      <w:r>
        <w:rPr>
          <w:sz w:val="24"/>
          <w:szCs w:val="24"/>
        </w:rPr>
        <w:t xml:space="preserve">Libro I (fragmento); </w:t>
      </w:r>
    </w:p>
    <w:p w:rsidR="004E48E2" w:rsidRDefault="00C04C74">
      <w:pPr>
        <w:numPr>
          <w:ilvl w:val="0"/>
          <w:numId w:val="5"/>
        </w:numPr>
        <w:spacing w:after="0" w:line="240" w:lineRule="auto"/>
        <w:jc w:val="both"/>
        <w:rPr>
          <w:rFonts w:ascii="Times New Roman" w:eastAsia="Times New Roman" w:hAnsi="Times New Roman" w:cs="Times New Roman"/>
          <w:sz w:val="24"/>
          <w:szCs w:val="24"/>
        </w:rPr>
      </w:pPr>
      <w:r>
        <w:rPr>
          <w:sz w:val="24"/>
          <w:szCs w:val="24"/>
        </w:rPr>
        <w:t>TUCÍDIDES</w:t>
      </w:r>
      <w:r>
        <w:rPr>
          <w:b/>
          <w:bCs/>
          <w:sz w:val="24"/>
          <w:szCs w:val="24"/>
        </w:rPr>
        <w:t xml:space="preserve">. </w:t>
      </w:r>
      <w:r>
        <w:rPr>
          <w:i/>
          <w:iCs/>
          <w:sz w:val="24"/>
          <w:szCs w:val="24"/>
        </w:rPr>
        <w:t>Historia de la Guerra del Peloponeso,</w:t>
      </w:r>
      <w:r>
        <w:rPr>
          <w:sz w:val="24"/>
          <w:szCs w:val="24"/>
        </w:rPr>
        <w:t xml:space="preserve"> Libro I (fragmento), </w:t>
      </w:r>
    </w:p>
    <w:p w:rsidR="004E48E2" w:rsidRDefault="00C04C74">
      <w:pPr>
        <w:numPr>
          <w:ilvl w:val="0"/>
          <w:numId w:val="5"/>
        </w:numPr>
        <w:spacing w:after="0" w:line="240" w:lineRule="auto"/>
        <w:jc w:val="both"/>
        <w:rPr>
          <w:sz w:val="24"/>
          <w:szCs w:val="24"/>
        </w:rPr>
      </w:pPr>
      <w:r>
        <w:rPr>
          <w:sz w:val="24"/>
          <w:szCs w:val="24"/>
        </w:rPr>
        <w:t>TITO LI</w:t>
      </w:r>
      <w:r>
        <w:rPr>
          <w:sz w:val="24"/>
          <w:szCs w:val="24"/>
        </w:rPr>
        <w:t xml:space="preserve">VIO. </w:t>
      </w:r>
      <w:r>
        <w:rPr>
          <w:i/>
          <w:iCs/>
          <w:sz w:val="24"/>
          <w:szCs w:val="24"/>
        </w:rPr>
        <w:t>Historia Romana.</w:t>
      </w:r>
      <w:r>
        <w:rPr>
          <w:sz w:val="24"/>
          <w:szCs w:val="24"/>
        </w:rPr>
        <w:t xml:space="preserve"> (Prólogo) Extraídas de SANCHEZ MARCOS, Fernando. (1993) Invitación a la Historia.</w:t>
      </w:r>
      <w:r>
        <w:rPr>
          <w:sz w:val="24"/>
          <w:szCs w:val="24"/>
          <w:u w:val="single"/>
        </w:rPr>
        <w:t xml:space="preserve"> </w:t>
      </w:r>
      <w:r>
        <w:rPr>
          <w:sz w:val="24"/>
          <w:szCs w:val="24"/>
        </w:rPr>
        <w:t xml:space="preserve">La Historiografía, de Heródoto a Voltaire, a través de sus textos. Ed. Labor. Barcelona. 2ª edición. </w:t>
      </w:r>
    </w:p>
    <w:p w:rsidR="004E48E2" w:rsidRDefault="00C04C74">
      <w:pPr>
        <w:numPr>
          <w:ilvl w:val="0"/>
          <w:numId w:val="5"/>
        </w:numPr>
        <w:spacing w:after="0" w:line="240" w:lineRule="auto"/>
        <w:jc w:val="both"/>
        <w:rPr>
          <w:rFonts w:ascii="Times New Roman" w:eastAsia="Times New Roman" w:hAnsi="Times New Roman" w:cs="Times New Roman"/>
          <w:sz w:val="24"/>
          <w:szCs w:val="24"/>
        </w:rPr>
      </w:pPr>
      <w:r>
        <w:rPr>
          <w:sz w:val="24"/>
          <w:szCs w:val="24"/>
        </w:rPr>
        <w:t xml:space="preserve">SAN AGUSTÍN. </w:t>
      </w:r>
      <w:r>
        <w:rPr>
          <w:i/>
          <w:iCs/>
          <w:sz w:val="24"/>
          <w:szCs w:val="24"/>
        </w:rPr>
        <w:t>De la eterna felicidad y bienaventura</w:t>
      </w:r>
      <w:r>
        <w:rPr>
          <w:i/>
          <w:iCs/>
          <w:sz w:val="24"/>
          <w:szCs w:val="24"/>
        </w:rPr>
        <w:t>nza de la Ciudad de Dios, del sábado y descanso perpetuo</w:t>
      </w:r>
      <w:r>
        <w:rPr>
          <w:sz w:val="24"/>
          <w:szCs w:val="24"/>
        </w:rPr>
        <w:t>. Cap. 30 En  La Ciudad de Dios</w:t>
      </w:r>
      <w:r>
        <w:rPr>
          <w:b/>
          <w:bCs/>
          <w:sz w:val="24"/>
          <w:szCs w:val="24"/>
        </w:rPr>
        <w:t>,</w:t>
      </w:r>
      <w:r>
        <w:rPr>
          <w:sz w:val="24"/>
          <w:szCs w:val="24"/>
        </w:rPr>
        <w:t xml:space="preserve"> libro XXII. Comillas, Universidad Pontificia, 1929,  pp. 1154-1158.</w:t>
      </w:r>
    </w:p>
    <w:p w:rsidR="004E48E2" w:rsidRDefault="004E48E2">
      <w:pPr>
        <w:spacing w:after="120" w:line="240" w:lineRule="auto"/>
        <w:ind w:firstLine="0"/>
        <w:jc w:val="both"/>
        <w:rPr>
          <w:sz w:val="24"/>
          <w:szCs w:val="24"/>
        </w:rPr>
      </w:pPr>
    </w:p>
    <w:p w:rsidR="004E48E2" w:rsidRDefault="00C04C74">
      <w:pPr>
        <w:spacing w:after="120" w:line="240" w:lineRule="auto"/>
        <w:ind w:firstLine="0"/>
        <w:jc w:val="both"/>
        <w:rPr>
          <w:sz w:val="24"/>
          <w:szCs w:val="24"/>
        </w:rPr>
      </w:pPr>
      <w:r>
        <w:rPr>
          <w:b/>
          <w:bCs/>
          <w:sz w:val="24"/>
          <w:szCs w:val="24"/>
        </w:rPr>
        <w:t>21/4 TP 3: La construcción de la historia en la transición a la modernidad.</w:t>
      </w:r>
      <w:r>
        <w:rPr>
          <w:sz w:val="24"/>
          <w:szCs w:val="24"/>
        </w:rPr>
        <w:t xml:space="preserve"> </w:t>
      </w:r>
    </w:p>
    <w:p w:rsidR="004E48E2" w:rsidRDefault="00C04C74">
      <w:pPr>
        <w:numPr>
          <w:ilvl w:val="0"/>
          <w:numId w:val="8"/>
        </w:numPr>
        <w:tabs>
          <w:tab w:val="left" w:pos="0"/>
        </w:tabs>
        <w:spacing w:after="0" w:line="240" w:lineRule="auto"/>
        <w:jc w:val="both"/>
        <w:rPr>
          <w:rFonts w:ascii="Times New Roman" w:eastAsia="Times New Roman" w:hAnsi="Times New Roman" w:cs="Times New Roman"/>
          <w:sz w:val="24"/>
          <w:szCs w:val="24"/>
        </w:rPr>
      </w:pPr>
      <w:r>
        <w:rPr>
          <w:sz w:val="24"/>
          <w:szCs w:val="24"/>
        </w:rPr>
        <w:t>FONTANA, J (2001)</w:t>
      </w:r>
      <w:r>
        <w:rPr>
          <w:i/>
          <w:iCs/>
          <w:sz w:val="24"/>
          <w:szCs w:val="24"/>
        </w:rPr>
        <w:t xml:space="preserve"> </w:t>
      </w:r>
      <w:r>
        <w:rPr>
          <w:sz w:val="24"/>
          <w:szCs w:val="24"/>
        </w:rPr>
        <w:t>“Re</w:t>
      </w:r>
      <w:r>
        <w:rPr>
          <w:sz w:val="24"/>
          <w:szCs w:val="24"/>
        </w:rPr>
        <w:t>nacimiento y renovación de la Historia”  (Cap. 3: pp.63-79); “La ilustración” (Cap. 4: pp.81-106). En FONTANA, J (2001) La Historia de los Hombres.</w:t>
      </w:r>
      <w:r>
        <w:rPr>
          <w:b/>
          <w:bCs/>
          <w:sz w:val="24"/>
          <w:szCs w:val="24"/>
        </w:rPr>
        <w:t xml:space="preserve"> </w:t>
      </w:r>
      <w:r>
        <w:rPr>
          <w:sz w:val="24"/>
          <w:szCs w:val="24"/>
        </w:rPr>
        <w:t>Crítica. Barcelona</w:t>
      </w:r>
    </w:p>
    <w:p w:rsidR="004E48E2" w:rsidRDefault="004E48E2">
      <w:pPr>
        <w:spacing w:after="0" w:line="240" w:lineRule="auto"/>
        <w:ind w:left="720" w:firstLine="0"/>
        <w:jc w:val="both"/>
        <w:rPr>
          <w:b/>
          <w:bCs/>
          <w:sz w:val="24"/>
          <w:szCs w:val="24"/>
        </w:rPr>
      </w:pPr>
    </w:p>
    <w:p w:rsidR="004E48E2" w:rsidRDefault="00C04C74">
      <w:pPr>
        <w:spacing w:line="240" w:lineRule="auto"/>
        <w:ind w:firstLine="0"/>
        <w:jc w:val="both"/>
        <w:rPr>
          <w:b/>
          <w:bCs/>
          <w:sz w:val="24"/>
          <w:szCs w:val="24"/>
        </w:rPr>
      </w:pPr>
      <w:r>
        <w:rPr>
          <w:b/>
          <w:bCs/>
          <w:sz w:val="24"/>
          <w:szCs w:val="24"/>
        </w:rPr>
        <w:t>Fuentes: S XV- XVIII</w:t>
      </w:r>
    </w:p>
    <w:p w:rsidR="004E48E2" w:rsidRDefault="00C04C74">
      <w:pPr>
        <w:numPr>
          <w:ilvl w:val="0"/>
          <w:numId w:val="8"/>
        </w:numPr>
        <w:pBdr>
          <w:top w:val="nil"/>
          <w:left w:val="nil"/>
          <w:bottom w:val="nil"/>
          <w:right w:val="nil"/>
          <w:between w:val="nil"/>
        </w:pBdr>
        <w:spacing w:after="0" w:line="240" w:lineRule="auto"/>
        <w:jc w:val="both"/>
        <w:rPr>
          <w:color w:val="000000"/>
          <w:sz w:val="24"/>
          <w:szCs w:val="24"/>
        </w:rPr>
      </w:pPr>
      <w:r>
        <w:rPr>
          <w:color w:val="000000"/>
          <w:sz w:val="24"/>
          <w:szCs w:val="24"/>
        </w:rPr>
        <w:t xml:space="preserve">MAQUIAVELO, N. </w:t>
      </w:r>
      <w:r>
        <w:rPr>
          <w:i/>
          <w:iCs/>
          <w:color w:val="000000"/>
          <w:sz w:val="24"/>
          <w:szCs w:val="24"/>
        </w:rPr>
        <w:t>El Príncipe</w:t>
      </w:r>
      <w:r>
        <w:rPr>
          <w:color w:val="000000"/>
          <w:sz w:val="24"/>
          <w:szCs w:val="24"/>
        </w:rPr>
        <w:t xml:space="preserve">. Cap. XVIII (fragmento); </w:t>
      </w:r>
    </w:p>
    <w:p w:rsidR="004E48E2" w:rsidRDefault="00C04C74">
      <w:pPr>
        <w:numPr>
          <w:ilvl w:val="0"/>
          <w:numId w:val="8"/>
        </w:numPr>
        <w:pBdr>
          <w:top w:val="nil"/>
          <w:left w:val="nil"/>
          <w:bottom w:val="nil"/>
          <w:right w:val="nil"/>
          <w:between w:val="nil"/>
        </w:pBdr>
        <w:spacing w:after="0" w:line="240" w:lineRule="auto"/>
        <w:jc w:val="both"/>
        <w:rPr>
          <w:color w:val="000000"/>
          <w:sz w:val="24"/>
          <w:szCs w:val="24"/>
        </w:rPr>
      </w:pPr>
      <w:r>
        <w:rPr>
          <w:color w:val="000000"/>
          <w:sz w:val="24"/>
          <w:szCs w:val="24"/>
        </w:rPr>
        <w:t xml:space="preserve">BOSSUET, J. </w:t>
      </w:r>
      <w:r>
        <w:rPr>
          <w:i/>
          <w:iCs/>
          <w:color w:val="000000"/>
          <w:sz w:val="24"/>
          <w:szCs w:val="24"/>
        </w:rPr>
        <w:t xml:space="preserve">Discurso sobre la Historia Universal. </w:t>
      </w:r>
      <w:r>
        <w:rPr>
          <w:color w:val="000000"/>
          <w:sz w:val="24"/>
          <w:szCs w:val="24"/>
        </w:rPr>
        <w:t xml:space="preserve">Tercera parte, cap. I    (Fragmento); </w:t>
      </w:r>
    </w:p>
    <w:p w:rsidR="004E48E2" w:rsidRDefault="00C04C74">
      <w:pPr>
        <w:numPr>
          <w:ilvl w:val="0"/>
          <w:numId w:val="8"/>
        </w:numPr>
        <w:pBdr>
          <w:top w:val="nil"/>
          <w:left w:val="nil"/>
          <w:bottom w:val="nil"/>
          <w:right w:val="nil"/>
          <w:between w:val="nil"/>
        </w:pBdr>
        <w:spacing w:after="0" w:line="240" w:lineRule="auto"/>
        <w:jc w:val="both"/>
        <w:rPr>
          <w:color w:val="000000"/>
          <w:sz w:val="24"/>
          <w:szCs w:val="24"/>
        </w:rPr>
      </w:pPr>
      <w:r>
        <w:rPr>
          <w:color w:val="000000"/>
          <w:sz w:val="24"/>
          <w:szCs w:val="24"/>
        </w:rPr>
        <w:lastRenderedPageBreak/>
        <w:t xml:space="preserve">BODIN, J. </w:t>
      </w:r>
      <w:r>
        <w:rPr>
          <w:i/>
          <w:iCs/>
          <w:color w:val="000000"/>
          <w:sz w:val="24"/>
          <w:szCs w:val="24"/>
        </w:rPr>
        <w:t xml:space="preserve">EL método de la Historia. </w:t>
      </w:r>
      <w:r>
        <w:rPr>
          <w:color w:val="000000"/>
          <w:sz w:val="24"/>
          <w:szCs w:val="24"/>
        </w:rPr>
        <w:t>Cap. VII (fragmento).</w:t>
      </w:r>
    </w:p>
    <w:p w:rsidR="004E48E2" w:rsidRDefault="00C04C74">
      <w:pPr>
        <w:numPr>
          <w:ilvl w:val="0"/>
          <w:numId w:val="8"/>
        </w:numPr>
        <w:pBdr>
          <w:top w:val="nil"/>
          <w:left w:val="nil"/>
          <w:bottom w:val="nil"/>
          <w:right w:val="nil"/>
          <w:between w:val="nil"/>
        </w:pBdr>
        <w:spacing w:after="0" w:line="240" w:lineRule="auto"/>
        <w:jc w:val="both"/>
        <w:rPr>
          <w:color w:val="000000"/>
          <w:sz w:val="24"/>
          <w:szCs w:val="24"/>
        </w:rPr>
      </w:pPr>
      <w:r>
        <w:rPr>
          <w:color w:val="000000"/>
          <w:sz w:val="24"/>
          <w:szCs w:val="24"/>
        </w:rPr>
        <w:t xml:space="preserve">MONTESQUIEU. </w:t>
      </w:r>
      <w:r>
        <w:rPr>
          <w:i/>
          <w:iCs/>
          <w:color w:val="000000"/>
          <w:sz w:val="24"/>
          <w:szCs w:val="24"/>
        </w:rPr>
        <w:t>El Espíritu de las Leyes.</w:t>
      </w:r>
      <w:r>
        <w:rPr>
          <w:color w:val="000000"/>
          <w:sz w:val="24"/>
          <w:szCs w:val="24"/>
        </w:rPr>
        <w:t xml:space="preserve"> Libro XVII, Cap. I-III y VI-VIII (fragmentos); </w:t>
      </w:r>
    </w:p>
    <w:p w:rsidR="004E48E2" w:rsidRDefault="00C04C74">
      <w:pPr>
        <w:spacing w:after="0" w:line="240" w:lineRule="auto"/>
        <w:ind w:left="708" w:firstLine="0"/>
        <w:jc w:val="both"/>
        <w:rPr>
          <w:sz w:val="24"/>
          <w:szCs w:val="24"/>
        </w:rPr>
      </w:pPr>
      <w:r>
        <w:rPr>
          <w:sz w:val="24"/>
          <w:szCs w:val="24"/>
        </w:rPr>
        <w:t xml:space="preserve">VOLTAIRE. </w:t>
      </w:r>
      <w:r>
        <w:rPr>
          <w:i/>
          <w:iCs/>
          <w:sz w:val="24"/>
          <w:szCs w:val="24"/>
        </w:rPr>
        <w:t>Ensayo sobre las costumb</w:t>
      </w:r>
      <w:r>
        <w:rPr>
          <w:i/>
          <w:iCs/>
          <w:sz w:val="24"/>
          <w:szCs w:val="24"/>
        </w:rPr>
        <w:t>res y el espíritu de las naciones.</w:t>
      </w:r>
      <w:r>
        <w:rPr>
          <w:sz w:val="24"/>
          <w:szCs w:val="24"/>
        </w:rPr>
        <w:t xml:space="preserve"> (pp. 218-219). Extraídas de  SANCHEZ MARCOS, Fernando. (1993) </w:t>
      </w:r>
      <w:r>
        <w:rPr>
          <w:sz w:val="24"/>
          <w:szCs w:val="24"/>
          <w:u w:val="single"/>
        </w:rPr>
        <w:t xml:space="preserve">Invitación a la Historia. </w:t>
      </w:r>
      <w:r>
        <w:rPr>
          <w:sz w:val="24"/>
          <w:szCs w:val="24"/>
        </w:rPr>
        <w:t>La Historiografía, de Heródoto a Voltaire, a través de sus textos. Ed. Labor. Barcelona. 2ª edición.</w:t>
      </w:r>
    </w:p>
    <w:p w:rsidR="004E48E2" w:rsidRDefault="004E48E2">
      <w:pPr>
        <w:spacing w:after="0" w:line="240" w:lineRule="auto"/>
        <w:ind w:firstLine="708"/>
        <w:jc w:val="both"/>
        <w:rPr>
          <w:sz w:val="24"/>
          <w:szCs w:val="24"/>
        </w:rPr>
      </w:pPr>
    </w:p>
    <w:p w:rsidR="004E48E2" w:rsidRDefault="004E48E2">
      <w:pPr>
        <w:spacing w:after="0" w:line="240" w:lineRule="auto"/>
        <w:ind w:firstLine="0"/>
        <w:jc w:val="both"/>
        <w:rPr>
          <w:b/>
          <w:bCs/>
          <w:sz w:val="24"/>
          <w:szCs w:val="24"/>
        </w:rPr>
      </w:pPr>
    </w:p>
    <w:p w:rsidR="004E48E2" w:rsidRDefault="00C04C74">
      <w:pPr>
        <w:spacing w:after="0" w:line="240" w:lineRule="auto"/>
        <w:ind w:firstLine="0"/>
        <w:jc w:val="both"/>
        <w:rPr>
          <w:sz w:val="24"/>
          <w:szCs w:val="24"/>
        </w:rPr>
      </w:pPr>
      <w:r>
        <w:rPr>
          <w:b/>
          <w:bCs/>
          <w:sz w:val="24"/>
          <w:szCs w:val="24"/>
        </w:rPr>
        <w:t xml:space="preserve">28/4 TP 4: </w:t>
      </w:r>
      <w:r>
        <w:rPr>
          <w:sz w:val="24"/>
          <w:szCs w:val="24"/>
        </w:rPr>
        <w:t>La historia como ci</w:t>
      </w:r>
      <w:r>
        <w:rPr>
          <w:sz w:val="24"/>
          <w:szCs w:val="24"/>
        </w:rPr>
        <w:t>encia social: profesionalización e institucionalización de la disciplina en el marco del historicismo.</w:t>
      </w:r>
    </w:p>
    <w:p w:rsidR="004E48E2" w:rsidRDefault="004E48E2">
      <w:pPr>
        <w:spacing w:after="0" w:line="240" w:lineRule="auto"/>
        <w:ind w:firstLine="0"/>
        <w:jc w:val="both"/>
        <w:rPr>
          <w:sz w:val="24"/>
          <w:szCs w:val="24"/>
        </w:rPr>
      </w:pPr>
    </w:p>
    <w:p w:rsidR="004E48E2" w:rsidRDefault="00C04C74">
      <w:pPr>
        <w:numPr>
          <w:ilvl w:val="0"/>
          <w:numId w:val="6"/>
        </w:numPr>
        <w:spacing w:after="0" w:line="240" w:lineRule="auto"/>
        <w:jc w:val="both"/>
        <w:rPr>
          <w:sz w:val="24"/>
          <w:szCs w:val="24"/>
        </w:rPr>
      </w:pPr>
      <w:r>
        <w:rPr>
          <w:sz w:val="24"/>
          <w:szCs w:val="24"/>
        </w:rPr>
        <w:t>MORADIELLOS, E. (2009) “A la sombra de Ranke: la cristalización de las ciencias históricas en el siglo XIX” (Cap. 5: Pp. 151-178) En MORADIELLOS, E (200</w:t>
      </w:r>
      <w:r>
        <w:rPr>
          <w:sz w:val="24"/>
          <w:szCs w:val="24"/>
        </w:rPr>
        <w:t>9) Las caras de Clío. Una introducción a la historia. Siglo XXI. Madrid</w:t>
      </w:r>
    </w:p>
    <w:p w:rsidR="004E48E2" w:rsidRDefault="00C04C74">
      <w:pPr>
        <w:numPr>
          <w:ilvl w:val="0"/>
          <w:numId w:val="6"/>
        </w:numPr>
        <w:spacing w:after="120" w:line="240" w:lineRule="auto"/>
        <w:jc w:val="both"/>
        <w:rPr>
          <w:sz w:val="24"/>
          <w:szCs w:val="24"/>
        </w:rPr>
      </w:pPr>
      <w:r>
        <w:rPr>
          <w:sz w:val="24"/>
          <w:szCs w:val="24"/>
        </w:rPr>
        <w:t xml:space="preserve">WALLERSTEIN, Immanuel. (Coord.) (2001) [1996] Abrir las Ciencias Sociales. Informe de la Comisión Gulbenkian para la reestructuración de las ciencias sociales. Siglo XXI. México. 5ta. </w:t>
      </w:r>
      <w:r>
        <w:rPr>
          <w:sz w:val="24"/>
          <w:szCs w:val="24"/>
        </w:rPr>
        <w:t>Edic. en español</w:t>
      </w:r>
    </w:p>
    <w:p w:rsidR="004E48E2" w:rsidRDefault="004E48E2">
      <w:pPr>
        <w:spacing w:after="120" w:line="240" w:lineRule="auto"/>
        <w:ind w:left="720" w:firstLine="0"/>
        <w:jc w:val="both"/>
        <w:rPr>
          <w:sz w:val="24"/>
          <w:szCs w:val="24"/>
        </w:rPr>
      </w:pPr>
    </w:p>
    <w:p w:rsidR="004E48E2" w:rsidRDefault="00C04C74">
      <w:pPr>
        <w:pBdr>
          <w:top w:val="single" w:sz="4" w:space="1" w:color="000000"/>
          <w:left w:val="single" w:sz="4" w:space="4" w:color="000000"/>
          <w:bottom w:val="single" w:sz="4" w:space="1" w:color="000000"/>
          <w:right w:val="single" w:sz="4" w:space="4" w:color="000000"/>
          <w:between w:val="nil"/>
        </w:pBdr>
        <w:spacing w:after="0" w:line="240" w:lineRule="auto"/>
        <w:ind w:left="720" w:firstLine="0"/>
        <w:jc w:val="center"/>
        <w:rPr>
          <w:b/>
          <w:bCs/>
          <w:color w:val="000000"/>
          <w:sz w:val="24"/>
          <w:szCs w:val="24"/>
        </w:rPr>
      </w:pPr>
      <w:r>
        <w:rPr>
          <w:b/>
          <w:bCs/>
          <w:color w:val="000000"/>
          <w:sz w:val="24"/>
          <w:szCs w:val="24"/>
        </w:rPr>
        <w:t>Lunes 4 de Mayo: PRIMER PARCIAL (unidades 1 y 2)</w:t>
      </w:r>
    </w:p>
    <w:p w:rsidR="004E48E2" w:rsidRDefault="004E48E2">
      <w:pPr>
        <w:spacing w:after="0" w:line="240" w:lineRule="auto"/>
        <w:ind w:firstLine="0"/>
        <w:jc w:val="both"/>
        <w:rPr>
          <w:sz w:val="24"/>
          <w:szCs w:val="24"/>
        </w:rPr>
      </w:pPr>
    </w:p>
    <w:p w:rsidR="004E48E2" w:rsidRDefault="00C04C74">
      <w:pPr>
        <w:pBdr>
          <w:top w:val="single" w:sz="4" w:space="1" w:color="000000"/>
          <w:left w:val="single" w:sz="4" w:space="0" w:color="000000"/>
          <w:bottom w:val="single" w:sz="4" w:space="1" w:color="000000"/>
          <w:right w:val="single" w:sz="4" w:space="4" w:color="000000"/>
        </w:pBdr>
        <w:spacing w:after="0" w:line="240" w:lineRule="auto"/>
        <w:ind w:left="709" w:firstLine="0"/>
        <w:jc w:val="center"/>
        <w:rPr>
          <w:b/>
          <w:bCs/>
          <w:sz w:val="24"/>
          <w:szCs w:val="24"/>
        </w:rPr>
      </w:pPr>
      <w:r>
        <w:rPr>
          <w:b/>
          <w:bCs/>
          <w:sz w:val="24"/>
          <w:szCs w:val="24"/>
        </w:rPr>
        <w:t>5/5 TP 5: Historicismo y nacionalismo (evaluativo)</w:t>
      </w:r>
    </w:p>
    <w:p w:rsidR="004E48E2" w:rsidRDefault="004E48E2">
      <w:pPr>
        <w:spacing w:after="0" w:line="240" w:lineRule="auto"/>
        <w:ind w:firstLine="0"/>
        <w:jc w:val="both"/>
        <w:rPr>
          <w:b/>
          <w:bCs/>
          <w:sz w:val="24"/>
          <w:szCs w:val="24"/>
        </w:rPr>
      </w:pPr>
    </w:p>
    <w:p w:rsidR="004E48E2" w:rsidRDefault="00C04C74">
      <w:pPr>
        <w:numPr>
          <w:ilvl w:val="0"/>
          <w:numId w:val="9"/>
        </w:numPr>
        <w:spacing w:after="0" w:line="240" w:lineRule="auto"/>
        <w:jc w:val="both"/>
        <w:rPr>
          <w:sz w:val="24"/>
          <w:szCs w:val="24"/>
        </w:rPr>
      </w:pPr>
      <w:r>
        <w:rPr>
          <w:sz w:val="24"/>
          <w:szCs w:val="24"/>
        </w:rPr>
        <w:t xml:space="preserve">ADAMOVSKY, E (2012) El color de la nación argentina: conflictos y negociaciones por la definición de un ethnos nacional, de la crisis al Bicentenario. De Gruyter; Jahrbuch für Geschichte Lateinamerikas ; 49; 1; 12-2012; 343-364 </w:t>
      </w:r>
    </w:p>
    <w:p w:rsidR="004E48E2" w:rsidRDefault="00C04C74">
      <w:pPr>
        <w:numPr>
          <w:ilvl w:val="0"/>
          <w:numId w:val="9"/>
        </w:numPr>
        <w:spacing w:after="120" w:line="240" w:lineRule="auto"/>
        <w:jc w:val="both"/>
        <w:rPr>
          <w:sz w:val="24"/>
          <w:szCs w:val="24"/>
        </w:rPr>
      </w:pPr>
      <w:r>
        <w:rPr>
          <w:sz w:val="24"/>
          <w:szCs w:val="24"/>
        </w:rPr>
        <w:t>Hobsbawn, Eric  (1991)  Int</w:t>
      </w:r>
      <w:r>
        <w:rPr>
          <w:sz w:val="24"/>
          <w:szCs w:val="24"/>
        </w:rPr>
        <w:t xml:space="preserve">roducción.  Naciones  y  nacionalismos desde  1780. Barcelona: Crítica, pp. 9-21. </w:t>
      </w:r>
    </w:p>
    <w:p w:rsidR="004E48E2" w:rsidRDefault="00C04C74">
      <w:pPr>
        <w:spacing w:after="0" w:line="240" w:lineRule="auto"/>
        <w:ind w:left="360" w:firstLine="0"/>
        <w:jc w:val="both"/>
        <w:rPr>
          <w:sz w:val="24"/>
          <w:szCs w:val="24"/>
        </w:rPr>
      </w:pPr>
      <w:r>
        <w:rPr>
          <w:b/>
          <w:bCs/>
          <w:sz w:val="24"/>
          <w:szCs w:val="24"/>
        </w:rPr>
        <w:t>Fuentes:</w:t>
      </w:r>
    </w:p>
    <w:p w:rsidR="004E48E2" w:rsidRDefault="00C04C74">
      <w:pPr>
        <w:numPr>
          <w:ilvl w:val="0"/>
          <w:numId w:val="9"/>
        </w:numPr>
        <w:spacing w:after="0" w:line="240" w:lineRule="auto"/>
        <w:jc w:val="both"/>
        <w:rPr>
          <w:rFonts w:ascii="Times New Roman" w:eastAsia="Times New Roman" w:hAnsi="Times New Roman" w:cs="Times New Roman"/>
          <w:sz w:val="24"/>
          <w:szCs w:val="24"/>
        </w:rPr>
      </w:pPr>
      <w:r>
        <w:rPr>
          <w:sz w:val="24"/>
          <w:szCs w:val="24"/>
        </w:rPr>
        <w:t xml:space="preserve">RANKE, Leopold Von: </w:t>
      </w:r>
      <w:r>
        <w:rPr>
          <w:i/>
          <w:iCs/>
          <w:sz w:val="24"/>
          <w:szCs w:val="24"/>
        </w:rPr>
        <w:t>Grandes figuras de la historia</w:t>
      </w:r>
      <w:r>
        <w:rPr>
          <w:sz w:val="24"/>
          <w:szCs w:val="24"/>
        </w:rPr>
        <w:t>, Cap. III “Historia de Prusia: Bísmark”.</w:t>
      </w:r>
      <w:r>
        <w:rPr>
          <w:b/>
          <w:bCs/>
          <w:sz w:val="24"/>
          <w:szCs w:val="24"/>
        </w:rPr>
        <w:t xml:space="preserve"> </w:t>
      </w:r>
      <w:r>
        <w:rPr>
          <w:sz w:val="24"/>
          <w:szCs w:val="24"/>
        </w:rPr>
        <w:t xml:space="preserve">Edición: RANKE, Leopold Von, </w:t>
      </w:r>
      <w:r>
        <w:rPr>
          <w:i/>
          <w:iCs/>
          <w:sz w:val="24"/>
          <w:szCs w:val="24"/>
        </w:rPr>
        <w:t xml:space="preserve">Grandes figuras de la historia, </w:t>
      </w:r>
      <w:r>
        <w:rPr>
          <w:sz w:val="24"/>
          <w:szCs w:val="24"/>
        </w:rPr>
        <w:t>España, Gri</w:t>
      </w:r>
      <w:r>
        <w:rPr>
          <w:sz w:val="24"/>
          <w:szCs w:val="24"/>
        </w:rPr>
        <w:t>jalbo, 1971 (Col. Biografías Gandesa; traducción y prólogo de Wenceslao Roces), pp. 281-283.</w:t>
      </w:r>
    </w:p>
    <w:p w:rsidR="004E48E2" w:rsidRDefault="00C04C74">
      <w:pPr>
        <w:numPr>
          <w:ilvl w:val="0"/>
          <w:numId w:val="9"/>
        </w:numPr>
        <w:spacing w:after="0" w:line="240" w:lineRule="auto"/>
        <w:jc w:val="both"/>
        <w:rPr>
          <w:sz w:val="24"/>
          <w:szCs w:val="24"/>
        </w:rPr>
      </w:pPr>
      <w:r>
        <w:rPr>
          <w:sz w:val="24"/>
          <w:szCs w:val="24"/>
        </w:rPr>
        <w:t xml:space="preserve">HERDER, Joham (1774) </w:t>
      </w:r>
      <w:r>
        <w:rPr>
          <w:i/>
          <w:iCs/>
          <w:sz w:val="24"/>
          <w:szCs w:val="24"/>
        </w:rPr>
        <w:t xml:space="preserve">Obra filosófica de la historia para la educación de la humanidad. </w:t>
      </w:r>
      <w:r>
        <w:rPr>
          <w:sz w:val="24"/>
          <w:szCs w:val="24"/>
        </w:rPr>
        <w:t>Sección primera. Pp, 295-297. Traducción Pedro Ribas. En SANCHEZ MARCOS, f (</w:t>
      </w:r>
      <w:r>
        <w:rPr>
          <w:sz w:val="24"/>
          <w:szCs w:val="24"/>
        </w:rPr>
        <w:t>1993) Invitación a la Historia. La historiografía de Heródoto a Voltaire a través de sus textos. Labor. Barcelona.</w:t>
      </w:r>
    </w:p>
    <w:p w:rsidR="004E48E2" w:rsidRDefault="004E48E2">
      <w:pPr>
        <w:spacing w:after="0" w:line="240" w:lineRule="auto"/>
        <w:ind w:firstLine="0"/>
        <w:jc w:val="both"/>
        <w:rPr>
          <w:b/>
          <w:bCs/>
          <w:sz w:val="24"/>
          <w:szCs w:val="24"/>
        </w:rPr>
      </w:pPr>
    </w:p>
    <w:p w:rsidR="004E48E2" w:rsidRDefault="004E48E2">
      <w:pPr>
        <w:spacing w:after="0" w:line="240" w:lineRule="auto"/>
        <w:ind w:firstLine="0"/>
        <w:jc w:val="both"/>
        <w:rPr>
          <w:b/>
          <w:bCs/>
          <w:sz w:val="16"/>
          <w:szCs w:val="16"/>
        </w:rPr>
      </w:pPr>
    </w:p>
    <w:p w:rsidR="004E48E2" w:rsidRDefault="00C04C74">
      <w:pPr>
        <w:spacing w:after="0" w:line="240" w:lineRule="auto"/>
        <w:ind w:firstLine="0"/>
        <w:jc w:val="both"/>
        <w:rPr>
          <w:b/>
          <w:bCs/>
          <w:sz w:val="24"/>
          <w:szCs w:val="24"/>
        </w:rPr>
      </w:pPr>
      <w:r>
        <w:rPr>
          <w:b/>
          <w:bCs/>
          <w:sz w:val="24"/>
          <w:szCs w:val="24"/>
        </w:rPr>
        <w:t>12/5  TP 6: Los orígenes de la perspectiva crítica en historia. Debates en el marxismo decimonónico e inicios del S. XX.</w:t>
      </w:r>
    </w:p>
    <w:p w:rsidR="004E48E2" w:rsidRDefault="004E48E2">
      <w:pPr>
        <w:spacing w:after="0" w:line="240" w:lineRule="auto"/>
        <w:ind w:firstLine="0"/>
        <w:jc w:val="both"/>
        <w:rPr>
          <w:b/>
          <w:bCs/>
          <w:sz w:val="24"/>
          <w:szCs w:val="24"/>
        </w:rPr>
      </w:pPr>
    </w:p>
    <w:p w:rsidR="004E48E2" w:rsidRDefault="00C04C74">
      <w:pPr>
        <w:numPr>
          <w:ilvl w:val="0"/>
          <w:numId w:val="10"/>
        </w:numPr>
        <w:spacing w:after="0" w:line="240" w:lineRule="auto"/>
        <w:jc w:val="both"/>
        <w:rPr>
          <w:sz w:val="24"/>
          <w:szCs w:val="24"/>
        </w:rPr>
      </w:pPr>
      <w:r>
        <w:rPr>
          <w:sz w:val="24"/>
          <w:szCs w:val="24"/>
        </w:rPr>
        <w:lastRenderedPageBreak/>
        <w:t>AGUIRRE ROJAS, C (2005) “En los orígenes de la historia crítica” (Cap.3) En Aguirre Rojas (2005) Antimanual del mal historiador. ¿O cómo hacer hoy una buena historia crítica? Contrahistoria. México</w:t>
      </w:r>
    </w:p>
    <w:p w:rsidR="004E48E2" w:rsidRDefault="00C04C74">
      <w:pPr>
        <w:numPr>
          <w:ilvl w:val="0"/>
          <w:numId w:val="10"/>
        </w:numPr>
        <w:spacing w:after="120" w:line="240" w:lineRule="auto"/>
        <w:jc w:val="both"/>
        <w:rPr>
          <w:sz w:val="24"/>
          <w:szCs w:val="24"/>
        </w:rPr>
      </w:pPr>
      <w:r>
        <w:rPr>
          <w:sz w:val="24"/>
          <w:szCs w:val="24"/>
        </w:rPr>
        <w:t>HOBSBAWM, E.(1996) “Marx y la Historia” en Cuadernos polít</w:t>
      </w:r>
      <w:r>
        <w:rPr>
          <w:sz w:val="24"/>
          <w:szCs w:val="24"/>
        </w:rPr>
        <w:t>icos, Nº 48, octubre / diciembre 1986. pp. 73-81</w:t>
      </w:r>
    </w:p>
    <w:p w:rsidR="004E48E2" w:rsidRDefault="00C04C74">
      <w:pPr>
        <w:spacing w:after="0" w:line="240" w:lineRule="auto"/>
        <w:ind w:left="720" w:firstLine="0"/>
        <w:jc w:val="both"/>
        <w:rPr>
          <w:b/>
          <w:bCs/>
          <w:sz w:val="24"/>
          <w:szCs w:val="24"/>
        </w:rPr>
      </w:pPr>
      <w:r>
        <w:rPr>
          <w:b/>
          <w:bCs/>
          <w:sz w:val="24"/>
          <w:szCs w:val="24"/>
        </w:rPr>
        <w:t>Fuentes:</w:t>
      </w:r>
    </w:p>
    <w:p w:rsidR="004E48E2" w:rsidRDefault="00C04C74">
      <w:pPr>
        <w:numPr>
          <w:ilvl w:val="0"/>
          <w:numId w:val="10"/>
        </w:numPr>
        <w:spacing w:after="0" w:line="240" w:lineRule="auto"/>
        <w:jc w:val="both"/>
        <w:rPr>
          <w:b/>
          <w:bCs/>
          <w:sz w:val="24"/>
          <w:szCs w:val="24"/>
        </w:rPr>
      </w:pPr>
      <w:r>
        <w:rPr>
          <w:sz w:val="24"/>
          <w:szCs w:val="24"/>
        </w:rPr>
        <w:t xml:space="preserve">MARX, Karl [1848] </w:t>
      </w:r>
      <w:r>
        <w:rPr>
          <w:i/>
          <w:iCs/>
          <w:sz w:val="24"/>
          <w:szCs w:val="24"/>
        </w:rPr>
        <w:t>El Manifiesto Comunista</w:t>
      </w:r>
    </w:p>
    <w:p w:rsidR="004E48E2" w:rsidRDefault="00C04C74">
      <w:pPr>
        <w:numPr>
          <w:ilvl w:val="0"/>
          <w:numId w:val="10"/>
        </w:numPr>
        <w:tabs>
          <w:tab w:val="left" w:pos="0"/>
        </w:tabs>
        <w:spacing w:after="0" w:line="240" w:lineRule="auto"/>
        <w:jc w:val="both"/>
        <w:rPr>
          <w:b/>
          <w:bCs/>
          <w:sz w:val="24"/>
          <w:szCs w:val="24"/>
        </w:rPr>
      </w:pPr>
      <w:r>
        <w:rPr>
          <w:sz w:val="24"/>
          <w:szCs w:val="24"/>
        </w:rPr>
        <w:t xml:space="preserve">MARX, Karl y  Friedrich.  Engels. </w:t>
      </w:r>
      <w:r>
        <w:rPr>
          <w:i/>
          <w:iCs/>
          <w:sz w:val="24"/>
          <w:szCs w:val="24"/>
        </w:rPr>
        <w:t>La Ideología Alemana</w:t>
      </w:r>
      <w:r>
        <w:rPr>
          <w:sz w:val="24"/>
          <w:szCs w:val="24"/>
        </w:rPr>
        <w:t xml:space="preserve"> (primer capítulo) </w:t>
      </w:r>
    </w:p>
    <w:p w:rsidR="004E48E2" w:rsidRDefault="00C04C74">
      <w:pPr>
        <w:numPr>
          <w:ilvl w:val="0"/>
          <w:numId w:val="10"/>
        </w:numPr>
        <w:spacing w:after="0" w:line="240" w:lineRule="auto"/>
        <w:jc w:val="both"/>
        <w:rPr>
          <w:b/>
          <w:bCs/>
          <w:sz w:val="24"/>
          <w:szCs w:val="24"/>
        </w:rPr>
      </w:pPr>
      <w:r>
        <w:rPr>
          <w:sz w:val="24"/>
          <w:szCs w:val="24"/>
        </w:rPr>
        <w:t xml:space="preserve">MARX, Karl. [1859] </w:t>
      </w:r>
      <w:r>
        <w:rPr>
          <w:i/>
          <w:iCs/>
          <w:sz w:val="24"/>
          <w:szCs w:val="24"/>
        </w:rPr>
        <w:t>Contribución a la Crítica de la Economía Política (</w:t>
      </w:r>
      <w:r>
        <w:rPr>
          <w:sz w:val="24"/>
          <w:szCs w:val="24"/>
        </w:rPr>
        <w:t>Prólogo).</w:t>
      </w:r>
    </w:p>
    <w:p w:rsidR="004E48E2" w:rsidRDefault="004E48E2">
      <w:pPr>
        <w:spacing w:after="0" w:line="240" w:lineRule="auto"/>
        <w:ind w:left="720" w:firstLine="0"/>
        <w:jc w:val="both"/>
        <w:rPr>
          <w:b/>
          <w:bCs/>
          <w:sz w:val="16"/>
          <w:szCs w:val="16"/>
        </w:rPr>
      </w:pPr>
    </w:p>
    <w:p w:rsidR="004E48E2" w:rsidRDefault="00C04C74">
      <w:pPr>
        <w:numPr>
          <w:ilvl w:val="0"/>
          <w:numId w:val="10"/>
        </w:numPr>
        <w:pBdr>
          <w:top w:val="single" w:sz="4" w:space="1" w:color="000000"/>
          <w:left w:val="single" w:sz="4" w:space="4" w:color="000000"/>
          <w:bottom w:val="single" w:sz="4" w:space="1" w:color="000000"/>
          <w:right w:val="single" w:sz="4" w:space="4" w:color="000000"/>
          <w:between w:val="nil"/>
        </w:pBdr>
        <w:spacing w:after="0" w:line="240" w:lineRule="auto"/>
        <w:jc w:val="center"/>
        <w:rPr>
          <w:b/>
          <w:bCs/>
          <w:color w:val="000000"/>
          <w:sz w:val="24"/>
          <w:szCs w:val="24"/>
        </w:rPr>
      </w:pPr>
      <w:r>
        <w:rPr>
          <w:b/>
          <w:bCs/>
          <w:color w:val="000000"/>
          <w:sz w:val="24"/>
          <w:szCs w:val="24"/>
        </w:rPr>
        <w:t>L</w:t>
      </w:r>
      <w:r>
        <w:rPr>
          <w:b/>
          <w:bCs/>
          <w:color w:val="000000"/>
          <w:sz w:val="24"/>
          <w:szCs w:val="24"/>
        </w:rPr>
        <w:t>unes 18 de Mayo: RECUPERATORIO PRIMER PARCIAL</w:t>
      </w:r>
    </w:p>
    <w:p w:rsidR="004E48E2" w:rsidRDefault="004E48E2">
      <w:pPr>
        <w:spacing w:after="120" w:line="240" w:lineRule="auto"/>
        <w:ind w:firstLine="0"/>
        <w:jc w:val="both"/>
        <w:rPr>
          <w:b/>
          <w:bCs/>
          <w:sz w:val="24"/>
          <w:szCs w:val="24"/>
        </w:rPr>
      </w:pPr>
    </w:p>
    <w:p w:rsidR="004E48E2" w:rsidRDefault="00C04C74">
      <w:pPr>
        <w:spacing w:after="120" w:line="240" w:lineRule="auto"/>
        <w:ind w:firstLine="0"/>
        <w:jc w:val="both"/>
        <w:rPr>
          <w:b/>
          <w:bCs/>
          <w:sz w:val="24"/>
          <w:szCs w:val="24"/>
        </w:rPr>
      </w:pPr>
      <w:r>
        <w:rPr>
          <w:b/>
          <w:bCs/>
          <w:sz w:val="24"/>
          <w:szCs w:val="24"/>
        </w:rPr>
        <w:t>19/5 TP 7: La Nueva Historia: propuestas desde la 1° y 2° Generación de Annales.</w:t>
      </w:r>
    </w:p>
    <w:p w:rsidR="004E48E2" w:rsidRDefault="00C04C74">
      <w:pPr>
        <w:numPr>
          <w:ilvl w:val="0"/>
          <w:numId w:val="18"/>
        </w:numPr>
        <w:tabs>
          <w:tab w:val="left" w:pos="0"/>
        </w:tabs>
        <w:spacing w:after="120" w:line="240" w:lineRule="auto"/>
        <w:jc w:val="both"/>
        <w:rPr>
          <w:sz w:val="24"/>
          <w:szCs w:val="24"/>
        </w:rPr>
      </w:pPr>
      <w:r>
        <w:rPr>
          <w:sz w:val="24"/>
          <w:szCs w:val="24"/>
        </w:rPr>
        <w:t>BURKE, P. (1999) “Los fundadores: Lucien Febvre y Marc Bloch” (Cap. 2, pp. 20-37); “El período de Braudel” (Cap. 3, pp 38 -67). En BURKE, P (1999) La Revolución Historiográfica Francesa. La escuela de los Annales (1929-1984). Gedisa. Barcelona</w:t>
      </w:r>
    </w:p>
    <w:p w:rsidR="004E48E2" w:rsidRDefault="00C04C74">
      <w:pPr>
        <w:spacing w:after="0" w:line="240" w:lineRule="auto"/>
        <w:ind w:left="360" w:firstLine="0"/>
        <w:jc w:val="both"/>
        <w:rPr>
          <w:sz w:val="24"/>
          <w:szCs w:val="24"/>
        </w:rPr>
      </w:pPr>
      <w:r>
        <w:rPr>
          <w:b/>
          <w:bCs/>
          <w:sz w:val="24"/>
          <w:szCs w:val="24"/>
        </w:rPr>
        <w:t>Fuentes:</w:t>
      </w:r>
    </w:p>
    <w:p w:rsidR="004E48E2" w:rsidRDefault="00C04C74">
      <w:pPr>
        <w:numPr>
          <w:ilvl w:val="0"/>
          <w:numId w:val="18"/>
        </w:numPr>
        <w:tabs>
          <w:tab w:val="left" w:pos="0"/>
        </w:tabs>
        <w:spacing w:after="120" w:line="240" w:lineRule="auto"/>
        <w:jc w:val="both"/>
        <w:rPr>
          <w:sz w:val="24"/>
          <w:szCs w:val="24"/>
        </w:rPr>
      </w:pPr>
      <w:r>
        <w:rPr>
          <w:sz w:val="24"/>
          <w:szCs w:val="24"/>
        </w:rPr>
        <w:t xml:space="preserve">BLOCH, Marc. </w:t>
      </w:r>
      <w:r>
        <w:rPr>
          <w:i/>
          <w:iCs/>
          <w:sz w:val="24"/>
          <w:szCs w:val="24"/>
        </w:rPr>
        <w:t>Los Reyes Taumaturgos</w:t>
      </w:r>
      <w:r>
        <w:rPr>
          <w:sz w:val="24"/>
          <w:szCs w:val="24"/>
        </w:rPr>
        <w:t xml:space="preserve"> (1988) [1924]. Fondo de Cultura Económica. México. </w:t>
      </w:r>
    </w:p>
    <w:p w:rsidR="004E48E2" w:rsidRDefault="00C04C74">
      <w:pPr>
        <w:numPr>
          <w:ilvl w:val="0"/>
          <w:numId w:val="18"/>
        </w:numPr>
        <w:spacing w:after="120" w:line="240" w:lineRule="auto"/>
        <w:jc w:val="both"/>
        <w:rPr>
          <w:sz w:val="24"/>
          <w:szCs w:val="24"/>
        </w:rPr>
      </w:pPr>
      <w:r>
        <w:rPr>
          <w:sz w:val="24"/>
          <w:szCs w:val="24"/>
        </w:rPr>
        <w:t xml:space="preserve">BRAUDEL, F. (1976) [1949] </w:t>
      </w:r>
      <w:r>
        <w:rPr>
          <w:i/>
          <w:iCs/>
          <w:sz w:val="24"/>
          <w:szCs w:val="24"/>
        </w:rPr>
        <w:t>El Mediterráneo y el mundo mediterráneo en la época de Felipe II</w:t>
      </w:r>
      <w:r>
        <w:rPr>
          <w:sz w:val="24"/>
          <w:szCs w:val="24"/>
          <w:u w:val="single"/>
        </w:rPr>
        <w:t>.</w:t>
      </w:r>
      <w:r>
        <w:rPr>
          <w:sz w:val="24"/>
          <w:szCs w:val="24"/>
        </w:rPr>
        <w:t xml:space="preserve"> FCE. México) </w:t>
      </w:r>
    </w:p>
    <w:p w:rsidR="004E48E2" w:rsidRDefault="00C04C74">
      <w:pPr>
        <w:numPr>
          <w:ilvl w:val="0"/>
          <w:numId w:val="18"/>
        </w:numPr>
        <w:spacing w:after="120" w:line="240" w:lineRule="auto"/>
        <w:jc w:val="both"/>
        <w:rPr>
          <w:sz w:val="24"/>
          <w:szCs w:val="24"/>
        </w:rPr>
      </w:pPr>
      <w:r>
        <w:rPr>
          <w:sz w:val="24"/>
          <w:szCs w:val="24"/>
        </w:rPr>
        <w:t>FEBVRE, Lucien</w:t>
      </w:r>
      <w:r>
        <w:rPr>
          <w:color w:val="C0504D"/>
          <w:sz w:val="24"/>
          <w:szCs w:val="24"/>
        </w:rPr>
        <w:t xml:space="preserve"> </w:t>
      </w:r>
      <w:r>
        <w:rPr>
          <w:sz w:val="24"/>
          <w:szCs w:val="24"/>
        </w:rPr>
        <w:t xml:space="preserve">(1959) </w:t>
      </w:r>
      <w:r>
        <w:rPr>
          <w:i/>
          <w:iCs/>
          <w:sz w:val="24"/>
          <w:szCs w:val="24"/>
        </w:rPr>
        <w:t>E</w:t>
      </w:r>
      <w:r>
        <w:rPr>
          <w:sz w:val="24"/>
          <w:szCs w:val="24"/>
        </w:rPr>
        <w:t xml:space="preserve">l </w:t>
      </w:r>
      <w:r>
        <w:rPr>
          <w:i/>
          <w:iCs/>
          <w:sz w:val="24"/>
          <w:szCs w:val="24"/>
        </w:rPr>
        <w:t>problema de la Incredulidad en el sigl</w:t>
      </w:r>
      <w:r>
        <w:rPr>
          <w:i/>
          <w:iCs/>
          <w:sz w:val="24"/>
          <w:szCs w:val="24"/>
        </w:rPr>
        <w:t xml:space="preserve">o XVI. La religión de Rabelias. </w:t>
      </w:r>
      <w:r>
        <w:rPr>
          <w:sz w:val="24"/>
          <w:szCs w:val="24"/>
        </w:rPr>
        <w:t>En Berr Henry, La evolución humana. Síntesis Colectiva, México. Editorial Hispanoamericana. Primera parte: ¿Rabelais ateo? El problema y el método. (pp.8- 13)</w:t>
      </w:r>
    </w:p>
    <w:p w:rsidR="004E48E2" w:rsidRDefault="004E48E2">
      <w:pPr>
        <w:spacing w:after="120" w:line="240" w:lineRule="auto"/>
        <w:ind w:firstLine="0"/>
        <w:jc w:val="both"/>
        <w:rPr>
          <w:b/>
          <w:bCs/>
          <w:sz w:val="24"/>
          <w:szCs w:val="24"/>
        </w:rPr>
      </w:pPr>
    </w:p>
    <w:p w:rsidR="004E48E2" w:rsidRDefault="00C04C74">
      <w:pPr>
        <w:spacing w:after="120" w:line="240" w:lineRule="auto"/>
        <w:ind w:firstLine="0"/>
        <w:jc w:val="both"/>
        <w:rPr>
          <w:sz w:val="24"/>
          <w:szCs w:val="24"/>
        </w:rPr>
      </w:pPr>
      <w:r>
        <w:rPr>
          <w:b/>
          <w:bCs/>
          <w:sz w:val="24"/>
          <w:szCs w:val="24"/>
        </w:rPr>
        <w:t>26/5: TP 8</w:t>
      </w:r>
      <w:r>
        <w:rPr>
          <w:b/>
          <w:bCs/>
          <w:sz w:val="24"/>
          <w:szCs w:val="24"/>
          <w:vertAlign w:val="subscript"/>
        </w:rPr>
        <w:t xml:space="preserve">: </w:t>
      </w:r>
      <w:r>
        <w:rPr>
          <w:b/>
          <w:bCs/>
          <w:sz w:val="24"/>
          <w:szCs w:val="24"/>
        </w:rPr>
        <w:t xml:space="preserve">Innovación y cambio de foco: las propuestas de los  </w:t>
      </w:r>
      <w:r>
        <w:rPr>
          <w:b/>
          <w:bCs/>
          <w:sz w:val="24"/>
          <w:szCs w:val="24"/>
        </w:rPr>
        <w:t>3° Annales y la historia “desde abajo”.</w:t>
      </w:r>
    </w:p>
    <w:p w:rsidR="004E48E2" w:rsidRDefault="00C04C74">
      <w:pPr>
        <w:numPr>
          <w:ilvl w:val="0"/>
          <w:numId w:val="19"/>
        </w:numPr>
        <w:tabs>
          <w:tab w:val="left" w:pos="0"/>
        </w:tabs>
        <w:spacing w:after="120" w:line="240" w:lineRule="auto"/>
        <w:jc w:val="both"/>
        <w:rPr>
          <w:sz w:val="24"/>
          <w:szCs w:val="24"/>
        </w:rPr>
      </w:pPr>
      <w:r>
        <w:rPr>
          <w:sz w:val="24"/>
          <w:szCs w:val="24"/>
        </w:rPr>
        <w:t>“La tercera generación” (Cap. 4 pp, 68-93) En BURKE, P (1999) La Revolución Historiográfica Francesa. La escuela de los Annales (1929-1984). Gedisa. Barcelona</w:t>
      </w:r>
    </w:p>
    <w:p w:rsidR="004E48E2" w:rsidRDefault="00C04C74">
      <w:pPr>
        <w:numPr>
          <w:ilvl w:val="0"/>
          <w:numId w:val="19"/>
        </w:numPr>
        <w:spacing w:after="120" w:line="240" w:lineRule="auto"/>
        <w:jc w:val="both"/>
        <w:rPr>
          <w:sz w:val="24"/>
          <w:szCs w:val="24"/>
        </w:rPr>
      </w:pPr>
      <w:r>
        <w:rPr>
          <w:sz w:val="24"/>
          <w:szCs w:val="24"/>
        </w:rPr>
        <w:t>KAYE, H. (1989) “La contribución colectiva” (Cap.7 pp. 20</w:t>
      </w:r>
      <w:r>
        <w:rPr>
          <w:sz w:val="24"/>
          <w:szCs w:val="24"/>
        </w:rPr>
        <w:t>1-224) En KAYE, H (1989) Los historiadores marxistas británicos.  Prensas Universitarias. Universidad de Zaragoza España.</w:t>
      </w:r>
    </w:p>
    <w:p w:rsidR="004E48E2" w:rsidRDefault="00C04C74">
      <w:pPr>
        <w:tabs>
          <w:tab w:val="left" w:pos="0"/>
        </w:tabs>
        <w:spacing w:after="120" w:line="240" w:lineRule="auto"/>
        <w:ind w:firstLine="0"/>
        <w:jc w:val="both"/>
        <w:rPr>
          <w:b/>
          <w:bCs/>
          <w:sz w:val="24"/>
          <w:szCs w:val="24"/>
        </w:rPr>
      </w:pPr>
      <w:r>
        <w:rPr>
          <w:b/>
          <w:bCs/>
          <w:sz w:val="24"/>
          <w:szCs w:val="24"/>
        </w:rPr>
        <w:t>Fuentes:</w:t>
      </w:r>
    </w:p>
    <w:p w:rsidR="004E48E2" w:rsidRDefault="00C04C74">
      <w:pPr>
        <w:numPr>
          <w:ilvl w:val="0"/>
          <w:numId w:val="3"/>
        </w:numPr>
        <w:spacing w:after="120" w:line="240" w:lineRule="auto"/>
        <w:jc w:val="both"/>
        <w:rPr>
          <w:sz w:val="24"/>
          <w:szCs w:val="24"/>
        </w:rPr>
      </w:pPr>
      <w:r>
        <w:rPr>
          <w:sz w:val="24"/>
          <w:szCs w:val="24"/>
        </w:rPr>
        <w:t xml:space="preserve">LE ROY LADURIE, E (1975) </w:t>
      </w:r>
      <w:r>
        <w:rPr>
          <w:i/>
          <w:iCs/>
          <w:sz w:val="24"/>
          <w:szCs w:val="24"/>
        </w:rPr>
        <w:t>Montaillou, aldea Occitana, 1294-1324.</w:t>
      </w:r>
      <w:r>
        <w:rPr>
          <w:sz w:val="24"/>
          <w:szCs w:val="24"/>
        </w:rPr>
        <w:t xml:space="preserve"> Editor digital: Titivillus. ePub base r2.1</w:t>
      </w:r>
    </w:p>
    <w:p w:rsidR="004E48E2" w:rsidRDefault="00C04C74">
      <w:pPr>
        <w:numPr>
          <w:ilvl w:val="0"/>
          <w:numId w:val="3"/>
        </w:numPr>
        <w:spacing w:after="120" w:line="240" w:lineRule="auto"/>
        <w:jc w:val="both"/>
        <w:rPr>
          <w:sz w:val="24"/>
          <w:szCs w:val="24"/>
        </w:rPr>
      </w:pPr>
      <w:r>
        <w:rPr>
          <w:sz w:val="24"/>
          <w:szCs w:val="24"/>
        </w:rPr>
        <w:lastRenderedPageBreak/>
        <w:t>THOMPSON, E (1989)</w:t>
      </w:r>
      <w:r>
        <w:rPr>
          <w:sz w:val="24"/>
          <w:szCs w:val="24"/>
        </w:rPr>
        <w:t xml:space="preserve">  [1963] </w:t>
      </w:r>
      <w:r>
        <w:rPr>
          <w:i/>
          <w:iCs/>
          <w:sz w:val="24"/>
          <w:szCs w:val="24"/>
        </w:rPr>
        <w:t>La formación de la clase obrera en Inglaterra</w:t>
      </w:r>
      <w:r>
        <w:rPr>
          <w:sz w:val="24"/>
          <w:szCs w:val="24"/>
        </w:rPr>
        <w:t>. Ed. Crítica. Barcelona.</w:t>
      </w:r>
    </w:p>
    <w:p w:rsidR="004E48E2" w:rsidRDefault="004E48E2">
      <w:pPr>
        <w:spacing w:after="120" w:line="240" w:lineRule="auto"/>
        <w:ind w:left="720" w:firstLine="0"/>
        <w:jc w:val="both"/>
        <w:rPr>
          <w:sz w:val="24"/>
          <w:szCs w:val="24"/>
        </w:rPr>
      </w:pPr>
    </w:p>
    <w:p w:rsidR="004E48E2" w:rsidRDefault="00C04C74">
      <w:pPr>
        <w:pBdr>
          <w:top w:val="single" w:sz="4" w:space="1" w:color="000000"/>
          <w:left w:val="single" w:sz="4" w:space="4" w:color="000000"/>
          <w:bottom w:val="single" w:sz="4" w:space="1" w:color="000000"/>
          <w:right w:val="single" w:sz="4" w:space="4" w:color="000000"/>
        </w:pBdr>
        <w:spacing w:after="120" w:line="240" w:lineRule="auto"/>
        <w:ind w:firstLine="0"/>
        <w:jc w:val="center"/>
        <w:rPr>
          <w:b/>
          <w:bCs/>
          <w:sz w:val="24"/>
          <w:szCs w:val="24"/>
        </w:rPr>
      </w:pPr>
      <w:r>
        <w:rPr>
          <w:b/>
          <w:bCs/>
          <w:sz w:val="24"/>
          <w:szCs w:val="24"/>
        </w:rPr>
        <w:t>MARTES 2/6  TP 9 La Historia cultural norteamericana</w:t>
      </w:r>
    </w:p>
    <w:p w:rsidR="004E48E2" w:rsidRDefault="00C04C74">
      <w:pPr>
        <w:pBdr>
          <w:top w:val="single" w:sz="4" w:space="1" w:color="000000"/>
          <w:left w:val="single" w:sz="4" w:space="4" w:color="000000"/>
          <w:bottom w:val="single" w:sz="4" w:space="1" w:color="000000"/>
          <w:right w:val="single" w:sz="4" w:space="4" w:color="000000"/>
        </w:pBdr>
        <w:spacing w:after="120" w:line="240" w:lineRule="auto"/>
        <w:ind w:firstLine="0"/>
        <w:jc w:val="center"/>
        <w:rPr>
          <w:b/>
          <w:bCs/>
          <w:sz w:val="24"/>
          <w:szCs w:val="24"/>
        </w:rPr>
      </w:pPr>
      <w:r>
        <w:rPr>
          <w:b/>
          <w:bCs/>
          <w:sz w:val="24"/>
          <w:szCs w:val="24"/>
        </w:rPr>
        <w:t>(evaluativo)</w:t>
      </w:r>
    </w:p>
    <w:p w:rsidR="004E48E2" w:rsidRDefault="00C04C74">
      <w:pPr>
        <w:numPr>
          <w:ilvl w:val="0"/>
          <w:numId w:val="1"/>
        </w:numPr>
        <w:spacing w:after="0" w:line="240" w:lineRule="auto"/>
        <w:jc w:val="both"/>
        <w:rPr>
          <w:sz w:val="24"/>
          <w:szCs w:val="24"/>
        </w:rPr>
      </w:pPr>
      <w:r>
        <w:rPr>
          <w:sz w:val="24"/>
          <w:szCs w:val="24"/>
        </w:rPr>
        <w:t>BERENSON, E. (2012) “La historia cultural americana. La historia cultural de Francia vista desde América” En Poirrier, P. (2012) La historia cultural ¿Un giro historiográfico mundial? Publicación de la Universidad de Valencia. Valencia. pp. 48-58.</w:t>
      </w:r>
    </w:p>
    <w:p w:rsidR="004E48E2" w:rsidRDefault="00C04C74">
      <w:pPr>
        <w:numPr>
          <w:ilvl w:val="0"/>
          <w:numId w:val="4"/>
        </w:numPr>
        <w:spacing w:after="0" w:line="240" w:lineRule="auto"/>
        <w:jc w:val="both"/>
        <w:rPr>
          <w:sz w:val="24"/>
          <w:szCs w:val="24"/>
        </w:rPr>
      </w:pPr>
      <w:r>
        <w:rPr>
          <w:sz w:val="24"/>
          <w:szCs w:val="24"/>
        </w:rPr>
        <w:t>DAVIS, N</w:t>
      </w:r>
      <w:r>
        <w:rPr>
          <w:sz w:val="24"/>
          <w:szCs w:val="24"/>
        </w:rPr>
        <w:t>atalie Zemon (1983). El regreso de Martin Guerre. Barcelona: Crítica. (fragmento)</w:t>
      </w:r>
    </w:p>
    <w:p w:rsidR="004E48E2" w:rsidRDefault="00C04C74">
      <w:pPr>
        <w:numPr>
          <w:ilvl w:val="0"/>
          <w:numId w:val="4"/>
        </w:numPr>
        <w:spacing w:after="120" w:line="240" w:lineRule="auto"/>
        <w:jc w:val="both"/>
        <w:rPr>
          <w:sz w:val="24"/>
          <w:szCs w:val="24"/>
        </w:rPr>
      </w:pPr>
      <w:r>
        <w:rPr>
          <w:sz w:val="24"/>
          <w:szCs w:val="24"/>
        </w:rPr>
        <w:t xml:space="preserve">Película: Le Retour de Martin Guerre   </w:t>
      </w:r>
      <w:hyperlink r:id="rId18">
        <w:r>
          <w:rPr>
            <w:color w:val="1155CC"/>
            <w:sz w:val="24"/>
            <w:szCs w:val="24"/>
            <w:u w:val="single"/>
          </w:rPr>
          <w:t>https://www.youtube.com/watch?v=QZdT8_qmY8I&amp;t=19s</w:t>
        </w:r>
      </w:hyperlink>
    </w:p>
    <w:p w:rsidR="004E48E2" w:rsidRDefault="004E48E2">
      <w:pPr>
        <w:spacing w:after="120" w:line="240" w:lineRule="auto"/>
        <w:ind w:left="720" w:firstLine="0"/>
        <w:jc w:val="both"/>
        <w:rPr>
          <w:sz w:val="24"/>
          <w:szCs w:val="24"/>
        </w:rPr>
      </w:pPr>
    </w:p>
    <w:p w:rsidR="004E48E2" w:rsidRDefault="00C04C74">
      <w:pPr>
        <w:spacing w:after="120" w:line="240" w:lineRule="auto"/>
        <w:ind w:firstLine="0"/>
        <w:jc w:val="both"/>
        <w:rPr>
          <w:sz w:val="24"/>
          <w:szCs w:val="24"/>
        </w:rPr>
      </w:pPr>
      <w:r>
        <w:rPr>
          <w:b/>
          <w:bCs/>
          <w:sz w:val="24"/>
          <w:szCs w:val="24"/>
        </w:rPr>
        <w:t>9/6 TP 10: El g</w:t>
      </w:r>
      <w:r>
        <w:rPr>
          <w:b/>
          <w:bCs/>
          <w:sz w:val="24"/>
          <w:szCs w:val="24"/>
        </w:rPr>
        <w:t>iro lingüístico y el debate sobre el carácter narrativo de la historia: de los “indicios” a los enfoques posnarrativistas.</w:t>
      </w:r>
    </w:p>
    <w:p w:rsidR="004E48E2" w:rsidRDefault="00C04C74">
      <w:pPr>
        <w:numPr>
          <w:ilvl w:val="0"/>
          <w:numId w:val="11"/>
        </w:numPr>
        <w:shd w:val="clear" w:color="auto" w:fill="FFFFFF"/>
        <w:spacing w:after="120" w:line="240" w:lineRule="auto"/>
        <w:jc w:val="both"/>
        <w:rPr>
          <w:sz w:val="24"/>
          <w:szCs w:val="24"/>
        </w:rPr>
      </w:pPr>
      <w:r>
        <w:rPr>
          <w:sz w:val="24"/>
          <w:szCs w:val="24"/>
        </w:rPr>
        <w:t>IGGERS, G. (1998) [1995] “De la ciencia social histórica al giro lingüístico. Teoría de la Historia e Historiografía de los últimos v</w:t>
      </w:r>
      <w:r>
        <w:rPr>
          <w:sz w:val="24"/>
          <w:szCs w:val="24"/>
        </w:rPr>
        <w:t xml:space="preserve">einte años”. Segunda Parte. En Iggers, G (1998) La Ciencia Histórica en el siglo XX  Idea Books. Barcelona. </w:t>
      </w:r>
    </w:p>
    <w:p w:rsidR="004E48E2" w:rsidRDefault="00C04C74">
      <w:pPr>
        <w:numPr>
          <w:ilvl w:val="0"/>
          <w:numId w:val="11"/>
        </w:numPr>
        <w:shd w:val="clear" w:color="auto" w:fill="FFFFFF"/>
        <w:spacing w:after="120" w:line="240" w:lineRule="auto"/>
        <w:jc w:val="both"/>
        <w:rPr>
          <w:sz w:val="24"/>
          <w:szCs w:val="24"/>
        </w:rPr>
      </w:pPr>
      <w:r>
        <w:rPr>
          <w:sz w:val="24"/>
          <w:szCs w:val="24"/>
        </w:rPr>
        <w:t>AURELL. Jaume (2016). La escritura de la historia. De los positivismos a los posmodernismos. Valencia: Universitat de València. (fragmento)</w:t>
      </w:r>
    </w:p>
    <w:p w:rsidR="004E48E2" w:rsidRDefault="00C04C74">
      <w:pPr>
        <w:tabs>
          <w:tab w:val="center" w:pos="3727"/>
        </w:tabs>
        <w:spacing w:after="120" w:line="240" w:lineRule="auto"/>
        <w:ind w:left="360" w:firstLine="0"/>
        <w:jc w:val="both"/>
        <w:rPr>
          <w:b/>
          <w:bCs/>
          <w:sz w:val="24"/>
          <w:szCs w:val="24"/>
        </w:rPr>
      </w:pPr>
      <w:r>
        <w:rPr>
          <w:b/>
          <w:bCs/>
          <w:sz w:val="24"/>
          <w:szCs w:val="24"/>
        </w:rPr>
        <w:t>Fuentes:</w:t>
      </w:r>
    </w:p>
    <w:p w:rsidR="004E48E2" w:rsidRDefault="00C04C74">
      <w:pPr>
        <w:numPr>
          <w:ilvl w:val="0"/>
          <w:numId w:val="20"/>
        </w:numPr>
        <w:tabs>
          <w:tab w:val="center" w:pos="3727"/>
        </w:tabs>
        <w:spacing w:after="0" w:line="240" w:lineRule="auto"/>
        <w:ind w:left="708" w:hanging="283"/>
        <w:jc w:val="both"/>
        <w:rPr>
          <w:sz w:val="24"/>
          <w:szCs w:val="24"/>
        </w:rPr>
      </w:pPr>
      <w:r>
        <w:rPr>
          <w:sz w:val="24"/>
          <w:szCs w:val="24"/>
        </w:rPr>
        <w:t>GINZBURG, Carlo (1989). “Indicios. Raíces de un paradigma indiciario”. En Mitos, emblemas, indicios. Barcelona: Gedisa</w:t>
      </w:r>
    </w:p>
    <w:p w:rsidR="004E48E2" w:rsidRDefault="00C04C74">
      <w:pPr>
        <w:numPr>
          <w:ilvl w:val="0"/>
          <w:numId w:val="11"/>
        </w:numPr>
        <w:tabs>
          <w:tab w:val="center" w:pos="3727"/>
        </w:tabs>
        <w:spacing w:after="120" w:line="240" w:lineRule="auto"/>
        <w:jc w:val="both"/>
        <w:rPr>
          <w:sz w:val="24"/>
          <w:szCs w:val="24"/>
        </w:rPr>
      </w:pPr>
      <w:r>
        <w:rPr>
          <w:sz w:val="24"/>
          <w:szCs w:val="24"/>
        </w:rPr>
        <w:t>WHITE Hayden;(1992)  Metahistoria: La imaginación histórica en la Europa del siglo XIX México : FCE, 1992 - trad. de Stella Mast</w:t>
      </w:r>
      <w:r>
        <w:rPr>
          <w:sz w:val="24"/>
          <w:szCs w:val="24"/>
        </w:rPr>
        <w:t>rangelo (Introducción)</w:t>
      </w:r>
    </w:p>
    <w:p w:rsidR="004E48E2" w:rsidRDefault="004E48E2">
      <w:pPr>
        <w:spacing w:after="120" w:line="240" w:lineRule="auto"/>
        <w:ind w:firstLine="0"/>
        <w:jc w:val="both"/>
        <w:rPr>
          <w:b/>
          <w:bCs/>
          <w:sz w:val="24"/>
          <w:szCs w:val="24"/>
        </w:rPr>
      </w:pPr>
    </w:p>
    <w:p w:rsidR="004E48E2" w:rsidRDefault="00C04C74">
      <w:pPr>
        <w:pBdr>
          <w:top w:val="single" w:sz="4" w:space="1" w:color="000000"/>
          <w:left w:val="single" w:sz="4" w:space="4" w:color="000000"/>
          <w:bottom w:val="single" w:sz="4" w:space="1" w:color="000000"/>
          <w:right w:val="single" w:sz="4" w:space="4" w:color="000000"/>
        </w:pBdr>
        <w:spacing w:after="120" w:line="240" w:lineRule="auto"/>
        <w:ind w:firstLine="0"/>
        <w:jc w:val="center"/>
        <w:rPr>
          <w:b/>
          <w:bCs/>
          <w:sz w:val="24"/>
          <w:szCs w:val="24"/>
        </w:rPr>
      </w:pPr>
      <w:r>
        <w:rPr>
          <w:b/>
          <w:bCs/>
          <w:sz w:val="24"/>
          <w:szCs w:val="24"/>
        </w:rPr>
        <w:t>MARTES 9/6 SEGUNDO PARCIAL (Unidades 3 y 4)</w:t>
      </w:r>
    </w:p>
    <w:p w:rsidR="004E48E2" w:rsidRDefault="004E48E2">
      <w:pPr>
        <w:spacing w:after="0" w:line="240" w:lineRule="auto"/>
        <w:ind w:firstLine="0"/>
        <w:rPr>
          <w:b/>
          <w:bCs/>
          <w:sz w:val="24"/>
          <w:szCs w:val="24"/>
        </w:rPr>
      </w:pPr>
    </w:p>
    <w:p w:rsidR="004E48E2" w:rsidRDefault="00C04C74">
      <w:pPr>
        <w:pBdr>
          <w:top w:val="single" w:sz="4" w:space="1" w:color="000000"/>
          <w:left w:val="single" w:sz="4" w:space="4" w:color="000000"/>
          <w:bottom w:val="single" w:sz="4" w:space="1" w:color="000000"/>
          <w:right w:val="single" w:sz="4" w:space="4" w:color="000000"/>
        </w:pBdr>
        <w:spacing w:after="0" w:line="240" w:lineRule="auto"/>
        <w:ind w:firstLine="0"/>
        <w:jc w:val="center"/>
        <w:rPr>
          <w:b/>
          <w:bCs/>
          <w:sz w:val="24"/>
          <w:szCs w:val="24"/>
        </w:rPr>
      </w:pPr>
      <w:r>
        <w:rPr>
          <w:b/>
          <w:bCs/>
          <w:sz w:val="24"/>
          <w:szCs w:val="24"/>
        </w:rPr>
        <w:t xml:space="preserve">MARTES 16/6  RECUPERATORIO SEGUNDO PARCIAL </w:t>
      </w:r>
    </w:p>
    <w:p w:rsidR="004E48E2" w:rsidRDefault="00C04C74">
      <w:pPr>
        <w:pBdr>
          <w:top w:val="single" w:sz="4" w:space="1" w:color="000000"/>
          <w:left w:val="single" w:sz="4" w:space="4" w:color="000000"/>
          <w:bottom w:val="single" w:sz="4" w:space="1" w:color="000000"/>
          <w:right w:val="single" w:sz="4" w:space="4" w:color="000000"/>
        </w:pBdr>
        <w:spacing w:after="0" w:line="240" w:lineRule="auto"/>
        <w:ind w:firstLine="0"/>
        <w:jc w:val="center"/>
        <w:rPr>
          <w:b/>
          <w:bCs/>
          <w:sz w:val="24"/>
          <w:szCs w:val="24"/>
        </w:rPr>
      </w:pPr>
      <w:r>
        <w:rPr>
          <w:b/>
          <w:bCs/>
          <w:sz w:val="24"/>
          <w:szCs w:val="24"/>
        </w:rPr>
        <w:t xml:space="preserve">Y </w:t>
      </w:r>
    </w:p>
    <w:p w:rsidR="004E48E2" w:rsidRDefault="00C04C74">
      <w:pPr>
        <w:pBdr>
          <w:top w:val="single" w:sz="4" w:space="1" w:color="000000"/>
          <w:left w:val="single" w:sz="4" w:space="4" w:color="000000"/>
          <w:bottom w:val="single" w:sz="4" w:space="1" w:color="000000"/>
          <w:right w:val="single" w:sz="4" w:space="4" w:color="000000"/>
        </w:pBdr>
        <w:spacing w:after="0" w:line="240" w:lineRule="auto"/>
        <w:ind w:firstLine="0"/>
        <w:jc w:val="center"/>
        <w:rPr>
          <w:b/>
          <w:bCs/>
          <w:sz w:val="24"/>
          <w:szCs w:val="24"/>
        </w:rPr>
      </w:pPr>
      <w:r>
        <w:rPr>
          <w:b/>
          <w:bCs/>
        </w:rPr>
        <w:t>RECUPERATORIO de TP Evaluativos</w:t>
      </w:r>
    </w:p>
    <w:p w:rsidR="004E48E2" w:rsidRDefault="004E48E2">
      <w:pPr>
        <w:ind w:firstLine="0"/>
        <w:jc w:val="center"/>
      </w:pPr>
    </w:p>
    <w:p w:rsidR="004E48E2" w:rsidRDefault="00C04C74">
      <w:pPr>
        <w:pBdr>
          <w:top w:val="single" w:sz="4" w:space="1" w:color="000000"/>
          <w:left w:val="single" w:sz="4" w:space="4" w:color="000000"/>
          <w:bottom w:val="single" w:sz="4" w:space="1" w:color="000000"/>
          <w:right w:val="single" w:sz="4" w:space="4" w:color="000000"/>
        </w:pBdr>
        <w:spacing w:after="0" w:line="240" w:lineRule="auto"/>
        <w:ind w:firstLine="0"/>
        <w:jc w:val="center"/>
        <w:rPr>
          <w:b/>
          <w:bCs/>
          <w:sz w:val="24"/>
          <w:szCs w:val="24"/>
        </w:rPr>
      </w:pPr>
      <w:r>
        <w:rPr>
          <w:b/>
          <w:bCs/>
          <w:sz w:val="24"/>
          <w:szCs w:val="24"/>
        </w:rPr>
        <w:t>23/6 COLOQUIO PARA PROMOCIONALES</w:t>
      </w:r>
    </w:p>
    <w:p w:rsidR="004E48E2" w:rsidRDefault="00C04C74">
      <w:pPr>
        <w:pBdr>
          <w:top w:val="single" w:sz="4" w:space="1" w:color="000000"/>
          <w:left w:val="single" w:sz="4" w:space="4" w:color="000000"/>
          <w:bottom w:val="single" w:sz="4" w:space="1" w:color="000000"/>
          <w:right w:val="single" w:sz="4" w:space="4" w:color="000000"/>
        </w:pBdr>
        <w:spacing w:after="0" w:line="240" w:lineRule="auto"/>
        <w:ind w:firstLine="0"/>
        <w:jc w:val="center"/>
        <w:rPr>
          <w:b/>
          <w:bCs/>
          <w:sz w:val="24"/>
          <w:szCs w:val="24"/>
        </w:rPr>
      </w:pPr>
      <w:r>
        <w:rPr>
          <w:b/>
          <w:bCs/>
          <w:sz w:val="24"/>
          <w:szCs w:val="24"/>
        </w:rPr>
        <w:t>(unidad 5)</w:t>
      </w:r>
    </w:p>
    <w:p w:rsidR="004E48E2" w:rsidRDefault="004E48E2">
      <w:pPr>
        <w:pBdr>
          <w:top w:val="single" w:sz="4" w:space="1" w:color="000000"/>
          <w:left w:val="single" w:sz="4" w:space="4" w:color="000000"/>
          <w:bottom w:val="single" w:sz="4" w:space="1" w:color="000000"/>
          <w:right w:val="single" w:sz="4" w:space="4" w:color="000000"/>
        </w:pBdr>
        <w:spacing w:after="0" w:line="240" w:lineRule="auto"/>
        <w:ind w:firstLine="0"/>
        <w:jc w:val="center"/>
        <w:rPr>
          <w:b/>
          <w:bCs/>
        </w:rPr>
      </w:pPr>
    </w:p>
    <w:p w:rsidR="004E48E2" w:rsidRDefault="004E48E2">
      <w:pPr>
        <w:spacing w:after="160" w:line="259" w:lineRule="auto"/>
        <w:ind w:firstLine="0"/>
        <w:jc w:val="center"/>
        <w:rPr>
          <w:b/>
          <w:bCs/>
        </w:rPr>
      </w:pPr>
    </w:p>
    <w:p w:rsidR="004E48E2" w:rsidRDefault="00C04C74">
      <w:pPr>
        <w:spacing w:after="160" w:line="259" w:lineRule="auto"/>
        <w:ind w:firstLine="0"/>
        <w:jc w:val="center"/>
        <w:rPr>
          <w:b/>
          <w:bCs/>
        </w:rPr>
      </w:pPr>
      <w:bookmarkStart w:id="13" w:name="_GoBack"/>
      <w:bookmarkEnd w:id="13"/>
      <w:r>
        <w:rPr>
          <w:b/>
          <w:bCs/>
        </w:rPr>
        <w:lastRenderedPageBreak/>
        <w:t>SOLICITUD DE AUTORIZACIÓN</w:t>
      </w:r>
      <w:r>
        <w:rPr>
          <w:b/>
          <w:bCs/>
          <w:vertAlign w:val="superscript"/>
        </w:rPr>
        <w:footnoteReference w:id="1"/>
      </w:r>
      <w:r>
        <w:rPr>
          <w:b/>
          <w:bCs/>
        </w:rPr>
        <w:t xml:space="preserve"> PARA IMPLEMENTAR </w:t>
      </w:r>
    </w:p>
    <w:p w:rsidR="004E48E2" w:rsidRDefault="00C04C74">
      <w:pPr>
        <w:spacing w:after="160" w:line="259" w:lineRule="auto"/>
        <w:ind w:firstLine="0"/>
        <w:jc w:val="center"/>
        <w:rPr>
          <w:b/>
          <w:bCs/>
        </w:rPr>
      </w:pPr>
      <w:r>
        <w:rPr>
          <w:b/>
          <w:bCs/>
        </w:rPr>
        <w:t xml:space="preserve">LA CONDICIÓN DE ESTUDIANTE PROMOCIONAL </w:t>
      </w:r>
    </w:p>
    <w:p w:rsidR="004E48E2" w:rsidRDefault="00C04C74">
      <w:pPr>
        <w:spacing w:after="160" w:line="259" w:lineRule="auto"/>
        <w:ind w:firstLine="0"/>
        <w:jc w:val="center"/>
        <w:rPr>
          <w:b/>
          <w:bCs/>
        </w:rPr>
      </w:pPr>
      <w:r>
        <w:rPr>
          <w:b/>
          <w:bCs/>
        </w:rPr>
        <w:t>EN LAS ASIGNATURAS</w:t>
      </w:r>
      <w:r>
        <w:rPr>
          <w:b/>
          <w:bCs/>
          <w:vertAlign w:val="superscript"/>
        </w:rPr>
        <w:footnoteReference w:id="2"/>
      </w:r>
    </w:p>
    <w:p w:rsidR="004E48E2" w:rsidRDefault="004E48E2">
      <w:pPr>
        <w:spacing w:after="0" w:line="240" w:lineRule="auto"/>
        <w:ind w:firstLine="0"/>
        <w:jc w:val="center"/>
        <w:rPr>
          <w:b/>
          <w:bCs/>
          <w:sz w:val="8"/>
          <w:szCs w:val="8"/>
        </w:rPr>
      </w:pPr>
    </w:p>
    <w:p w:rsidR="004E48E2" w:rsidRDefault="00C04C74">
      <w:pPr>
        <w:spacing w:after="160" w:line="259" w:lineRule="auto"/>
        <w:ind w:firstLine="0"/>
        <w:jc w:val="both"/>
        <w:rPr>
          <w:b/>
          <w:bCs/>
        </w:rPr>
      </w:pPr>
      <w:r>
        <w:rPr>
          <w:b/>
          <w:bCs/>
        </w:rPr>
        <w:t xml:space="preserve">Sr. Docente Responsable de la Asignatura: </w:t>
      </w:r>
      <w:r>
        <w:t>si desea solicitar la autorización para implementar el sistema de promoción en la/s asignatura/s a su cargo, complete la siguiente planilla y previa firm</w:t>
      </w:r>
      <w:r>
        <w:t xml:space="preserve">a, preséntela anexa al programa de la/s misma/s.  Después de vencido el plazo para la presentación, según cronograma académico, se publicará la Resolución con las autorizaciones correspondientes. Muchas gracias. </w:t>
      </w:r>
    </w:p>
    <w:tbl>
      <w:tblPr>
        <w:tblStyle w:val="a4"/>
        <w:tblW w:w="8866" w:type="dxa"/>
        <w:tblInd w:w="-113" w:type="dxa"/>
        <w:tblLayout w:type="fixed"/>
        <w:tblLook w:val="0000" w:firstRow="0" w:lastRow="0" w:firstColumn="0" w:lastColumn="0" w:noHBand="0" w:noVBand="0"/>
      </w:tblPr>
      <w:tblGrid>
        <w:gridCol w:w="1662"/>
        <w:gridCol w:w="2400"/>
        <w:gridCol w:w="2119"/>
        <w:gridCol w:w="2685"/>
      </w:tblGrid>
      <w:tr w:rsidR="004E48E2">
        <w:trPr>
          <w:trHeight w:val="1265"/>
        </w:trPr>
        <w:tc>
          <w:tcPr>
            <w:tcW w:w="1662" w:type="dxa"/>
            <w:tcBorders>
              <w:top w:val="single" w:sz="4" w:space="0" w:color="000000"/>
              <w:left w:val="single" w:sz="4" w:space="0" w:color="000000"/>
              <w:bottom w:val="single" w:sz="4" w:space="0" w:color="000000"/>
              <w:right w:val="single" w:sz="4" w:space="0" w:color="000000"/>
            </w:tcBorders>
          </w:tcPr>
          <w:p w:rsidR="004E48E2" w:rsidRDefault="00C04C74">
            <w:pPr>
              <w:spacing w:after="160" w:line="259" w:lineRule="auto"/>
              <w:ind w:firstLine="0"/>
              <w:jc w:val="center"/>
              <w:rPr>
                <w:b/>
                <w:bCs/>
              </w:rPr>
            </w:pPr>
            <w:r>
              <w:rPr>
                <w:b/>
                <w:bCs/>
              </w:rPr>
              <w:t>Código/s de la Asignatura</w:t>
            </w:r>
          </w:p>
        </w:tc>
        <w:tc>
          <w:tcPr>
            <w:tcW w:w="2400" w:type="dxa"/>
            <w:tcBorders>
              <w:top w:val="single" w:sz="4" w:space="0" w:color="000000"/>
              <w:left w:val="single" w:sz="4" w:space="0" w:color="000000"/>
              <w:bottom w:val="single" w:sz="4" w:space="0" w:color="000000"/>
              <w:right w:val="single" w:sz="4" w:space="0" w:color="000000"/>
            </w:tcBorders>
          </w:tcPr>
          <w:p w:rsidR="004E48E2" w:rsidRDefault="00C04C74">
            <w:pPr>
              <w:spacing w:after="160" w:line="259" w:lineRule="auto"/>
              <w:ind w:firstLine="0"/>
              <w:jc w:val="center"/>
            </w:pPr>
            <w:r>
              <w:rPr>
                <w:b/>
                <w:bCs/>
              </w:rPr>
              <w:t xml:space="preserve">Nombre completo y régimen de la asignatura, </w:t>
            </w:r>
            <w:r>
              <w:t>según el plan de Estudios</w:t>
            </w:r>
          </w:p>
        </w:tc>
        <w:tc>
          <w:tcPr>
            <w:tcW w:w="2119" w:type="dxa"/>
            <w:tcBorders>
              <w:top w:val="single" w:sz="4" w:space="0" w:color="000000"/>
              <w:left w:val="single" w:sz="4" w:space="0" w:color="000000"/>
              <w:bottom w:val="single" w:sz="4" w:space="0" w:color="000000"/>
              <w:right w:val="single" w:sz="4" w:space="0" w:color="000000"/>
            </w:tcBorders>
          </w:tcPr>
          <w:p w:rsidR="004E48E2" w:rsidRDefault="00C04C74">
            <w:pPr>
              <w:spacing w:after="160" w:line="259" w:lineRule="auto"/>
              <w:ind w:firstLine="0"/>
              <w:jc w:val="center"/>
              <w:rPr>
                <w:b/>
                <w:bCs/>
              </w:rPr>
            </w:pPr>
            <w:r>
              <w:rPr>
                <w:b/>
                <w:bCs/>
              </w:rPr>
              <w:t>Carrera a la que pertenece la asignatura</w:t>
            </w:r>
          </w:p>
        </w:tc>
        <w:tc>
          <w:tcPr>
            <w:tcW w:w="2685" w:type="dxa"/>
            <w:tcBorders>
              <w:top w:val="single" w:sz="4" w:space="0" w:color="000000"/>
              <w:left w:val="single" w:sz="4" w:space="0" w:color="000000"/>
              <w:bottom w:val="single" w:sz="4" w:space="0" w:color="000000"/>
              <w:right w:val="single" w:sz="4" w:space="0" w:color="000000"/>
            </w:tcBorders>
          </w:tcPr>
          <w:p w:rsidR="004E48E2" w:rsidRDefault="00C04C74">
            <w:pPr>
              <w:spacing w:after="160" w:line="259" w:lineRule="auto"/>
              <w:ind w:firstLine="0"/>
              <w:jc w:val="center"/>
              <w:rPr>
                <w:b/>
                <w:bCs/>
              </w:rPr>
            </w:pPr>
            <w:r>
              <w:rPr>
                <w:b/>
                <w:bCs/>
              </w:rPr>
              <w:t xml:space="preserve">Condiciones para obtener la promoción </w:t>
            </w:r>
            <w:r>
              <w:t>(copiar lo declarado en el programa)</w:t>
            </w:r>
          </w:p>
        </w:tc>
      </w:tr>
      <w:tr w:rsidR="004E48E2">
        <w:trPr>
          <w:trHeight w:val="1509"/>
        </w:trPr>
        <w:tc>
          <w:tcPr>
            <w:tcW w:w="1662" w:type="dxa"/>
            <w:tcBorders>
              <w:top w:val="single" w:sz="4" w:space="0" w:color="000000"/>
              <w:left w:val="single" w:sz="4" w:space="0" w:color="000000"/>
              <w:bottom w:val="single" w:sz="4" w:space="0" w:color="000000"/>
              <w:right w:val="single" w:sz="4" w:space="0" w:color="000000"/>
            </w:tcBorders>
          </w:tcPr>
          <w:p w:rsidR="004E48E2" w:rsidRDefault="00C04C74">
            <w:pPr>
              <w:spacing w:after="160" w:line="259" w:lineRule="auto"/>
              <w:ind w:firstLine="0"/>
              <w:jc w:val="center"/>
            </w:pPr>
            <w:r>
              <w:t xml:space="preserve">  6680</w:t>
            </w:r>
          </w:p>
        </w:tc>
        <w:tc>
          <w:tcPr>
            <w:tcW w:w="2400" w:type="dxa"/>
            <w:tcBorders>
              <w:top w:val="single" w:sz="4" w:space="0" w:color="000000"/>
              <w:left w:val="single" w:sz="4" w:space="0" w:color="000000"/>
              <w:bottom w:val="single" w:sz="4" w:space="0" w:color="000000"/>
              <w:right w:val="single" w:sz="4" w:space="0" w:color="000000"/>
            </w:tcBorders>
          </w:tcPr>
          <w:p w:rsidR="004E48E2" w:rsidRDefault="00C04C74">
            <w:pPr>
              <w:spacing w:after="120" w:line="240" w:lineRule="auto"/>
              <w:ind w:firstLine="0"/>
              <w:jc w:val="center"/>
            </w:pPr>
            <w:r>
              <w:t xml:space="preserve">Introducción a la Historia y a las Ciencias Sociales </w:t>
            </w:r>
          </w:p>
          <w:p w:rsidR="004E48E2" w:rsidRDefault="00C04C74">
            <w:pPr>
              <w:spacing w:after="120" w:line="240" w:lineRule="auto"/>
              <w:ind w:firstLine="0"/>
              <w:jc w:val="center"/>
            </w:pPr>
            <w:r>
              <w:t>1° Cuatr</w:t>
            </w:r>
            <w:r>
              <w:t xml:space="preserve">imestre </w:t>
            </w:r>
          </w:p>
        </w:tc>
        <w:tc>
          <w:tcPr>
            <w:tcW w:w="2119" w:type="dxa"/>
            <w:tcBorders>
              <w:top w:val="single" w:sz="4" w:space="0" w:color="000000"/>
              <w:left w:val="single" w:sz="4" w:space="0" w:color="000000"/>
              <w:bottom w:val="single" w:sz="4" w:space="0" w:color="000000"/>
              <w:right w:val="single" w:sz="4" w:space="0" w:color="000000"/>
            </w:tcBorders>
          </w:tcPr>
          <w:p w:rsidR="004E48E2" w:rsidRDefault="00C04C74">
            <w:pPr>
              <w:spacing w:after="120" w:line="240" w:lineRule="auto"/>
              <w:ind w:firstLine="0"/>
              <w:jc w:val="center"/>
            </w:pPr>
            <w:r>
              <w:t xml:space="preserve">   21 </w:t>
            </w:r>
          </w:p>
          <w:p w:rsidR="004E48E2" w:rsidRDefault="00C04C74">
            <w:pPr>
              <w:spacing w:after="120" w:line="240" w:lineRule="auto"/>
              <w:ind w:firstLine="0"/>
              <w:jc w:val="center"/>
            </w:pPr>
            <w:r>
              <w:t>Profesorado en Historia</w:t>
            </w:r>
          </w:p>
        </w:tc>
        <w:tc>
          <w:tcPr>
            <w:tcW w:w="2685" w:type="dxa"/>
            <w:tcBorders>
              <w:top w:val="single" w:sz="4" w:space="0" w:color="000000"/>
              <w:left w:val="single" w:sz="4" w:space="0" w:color="000000"/>
              <w:bottom w:val="single" w:sz="4" w:space="0" w:color="000000"/>
              <w:right w:val="single" w:sz="4" w:space="0" w:color="000000"/>
            </w:tcBorders>
          </w:tcPr>
          <w:p w:rsidR="004E48E2" w:rsidRDefault="00C04C74">
            <w:pPr>
              <w:spacing w:after="120" w:line="240" w:lineRule="auto"/>
              <w:ind w:firstLine="0"/>
              <w:jc w:val="center"/>
            </w:pPr>
            <w:r>
              <w:t xml:space="preserve">  80 %  de Trabajos prácticos aprobados y dos evaluativos con promedio de 7 ; dos exámenes parciales, con 7 como nota promedio.</w:t>
            </w:r>
          </w:p>
          <w:p w:rsidR="004E48E2" w:rsidRDefault="00C04C74">
            <w:pPr>
              <w:spacing w:after="120" w:line="240" w:lineRule="auto"/>
              <w:ind w:firstLine="0"/>
              <w:jc w:val="center"/>
            </w:pPr>
            <w:r>
              <w:t>Coloquio final</w:t>
            </w:r>
          </w:p>
        </w:tc>
      </w:tr>
      <w:tr w:rsidR="004E48E2">
        <w:trPr>
          <w:trHeight w:val="1509"/>
        </w:trPr>
        <w:tc>
          <w:tcPr>
            <w:tcW w:w="1662" w:type="dxa"/>
            <w:tcBorders>
              <w:top w:val="single" w:sz="4" w:space="0" w:color="000000"/>
              <w:left w:val="single" w:sz="4" w:space="0" w:color="000000"/>
              <w:bottom w:val="single" w:sz="4" w:space="0" w:color="000000"/>
              <w:right w:val="single" w:sz="4" w:space="0" w:color="000000"/>
            </w:tcBorders>
          </w:tcPr>
          <w:p w:rsidR="004E48E2" w:rsidRDefault="00C04C74">
            <w:pPr>
              <w:spacing w:after="160" w:line="259" w:lineRule="auto"/>
              <w:ind w:firstLine="0"/>
              <w:jc w:val="center"/>
            </w:pPr>
            <w:r>
              <w:t xml:space="preserve">  6680</w:t>
            </w:r>
          </w:p>
        </w:tc>
        <w:tc>
          <w:tcPr>
            <w:tcW w:w="2400" w:type="dxa"/>
            <w:tcBorders>
              <w:top w:val="single" w:sz="4" w:space="0" w:color="000000"/>
              <w:left w:val="single" w:sz="4" w:space="0" w:color="000000"/>
              <w:bottom w:val="single" w:sz="4" w:space="0" w:color="000000"/>
              <w:right w:val="single" w:sz="4" w:space="0" w:color="000000"/>
            </w:tcBorders>
          </w:tcPr>
          <w:p w:rsidR="004E48E2" w:rsidRDefault="00C04C74">
            <w:pPr>
              <w:spacing w:after="120" w:line="240" w:lineRule="auto"/>
              <w:ind w:firstLine="0"/>
              <w:jc w:val="center"/>
            </w:pPr>
            <w:r>
              <w:t xml:space="preserve">Introducción a la Historia y a las Ciencias Sociales </w:t>
            </w:r>
          </w:p>
          <w:p w:rsidR="004E48E2" w:rsidRDefault="00C04C74">
            <w:pPr>
              <w:spacing w:after="120" w:line="240" w:lineRule="auto"/>
              <w:ind w:firstLine="0"/>
              <w:jc w:val="center"/>
            </w:pPr>
            <w:r>
              <w:t>Régimen Anual</w:t>
            </w:r>
          </w:p>
        </w:tc>
        <w:tc>
          <w:tcPr>
            <w:tcW w:w="2119" w:type="dxa"/>
            <w:tcBorders>
              <w:top w:val="single" w:sz="4" w:space="0" w:color="000000"/>
              <w:left w:val="single" w:sz="4" w:space="0" w:color="000000"/>
              <w:bottom w:val="single" w:sz="4" w:space="0" w:color="000000"/>
              <w:right w:val="single" w:sz="4" w:space="0" w:color="000000"/>
            </w:tcBorders>
          </w:tcPr>
          <w:p w:rsidR="004E48E2" w:rsidRDefault="00C04C74">
            <w:pPr>
              <w:spacing w:after="120" w:line="240" w:lineRule="auto"/>
              <w:ind w:firstLine="0"/>
              <w:jc w:val="center"/>
            </w:pPr>
            <w:r>
              <w:t xml:space="preserve">  22</w:t>
            </w:r>
          </w:p>
          <w:p w:rsidR="004E48E2" w:rsidRDefault="00C04C74">
            <w:pPr>
              <w:spacing w:after="120" w:line="240" w:lineRule="auto"/>
              <w:ind w:firstLine="0"/>
              <w:jc w:val="center"/>
            </w:pPr>
            <w:r>
              <w:t xml:space="preserve">Licenciatura en </w:t>
            </w:r>
          </w:p>
          <w:p w:rsidR="004E48E2" w:rsidRDefault="00C04C74">
            <w:pPr>
              <w:spacing w:after="120" w:line="240" w:lineRule="auto"/>
              <w:ind w:firstLine="0"/>
              <w:jc w:val="center"/>
            </w:pPr>
            <w:r>
              <w:t>Historia</w:t>
            </w:r>
          </w:p>
        </w:tc>
        <w:tc>
          <w:tcPr>
            <w:tcW w:w="2685" w:type="dxa"/>
            <w:tcBorders>
              <w:top w:val="single" w:sz="4" w:space="0" w:color="000000"/>
              <w:left w:val="single" w:sz="4" w:space="0" w:color="000000"/>
              <w:bottom w:val="single" w:sz="4" w:space="0" w:color="000000"/>
              <w:right w:val="single" w:sz="4" w:space="0" w:color="000000"/>
            </w:tcBorders>
          </w:tcPr>
          <w:p w:rsidR="004E48E2" w:rsidRDefault="00C04C74">
            <w:pPr>
              <w:spacing w:after="120" w:line="240" w:lineRule="auto"/>
              <w:ind w:firstLine="0"/>
              <w:jc w:val="center"/>
            </w:pPr>
            <w:r>
              <w:t>80 %  de Trabajos prácticos aprobados y dos evaluativos con promedio de 7; dos exámenes parciales, con 7 como nota promedio.</w:t>
            </w:r>
          </w:p>
          <w:p w:rsidR="004E48E2" w:rsidRDefault="00C04C74">
            <w:pPr>
              <w:spacing w:after="120" w:line="240" w:lineRule="auto"/>
              <w:ind w:firstLine="0"/>
              <w:jc w:val="center"/>
            </w:pPr>
            <w:r>
              <w:t xml:space="preserve">Coloquio final       </w:t>
            </w:r>
          </w:p>
        </w:tc>
      </w:tr>
      <w:tr w:rsidR="004E48E2">
        <w:trPr>
          <w:trHeight w:val="224"/>
        </w:trPr>
        <w:tc>
          <w:tcPr>
            <w:tcW w:w="8866" w:type="dxa"/>
            <w:gridSpan w:val="4"/>
            <w:tcBorders>
              <w:top w:val="single" w:sz="4" w:space="0" w:color="000000"/>
              <w:left w:val="single" w:sz="4" w:space="0" w:color="000000"/>
              <w:bottom w:val="single" w:sz="4" w:space="0" w:color="000000"/>
              <w:right w:val="single" w:sz="4" w:space="0" w:color="000000"/>
            </w:tcBorders>
          </w:tcPr>
          <w:p w:rsidR="004E48E2" w:rsidRDefault="00C04C74">
            <w:pPr>
              <w:spacing w:after="0" w:line="240" w:lineRule="auto"/>
              <w:ind w:firstLine="0"/>
              <w:jc w:val="center"/>
            </w:pPr>
            <w:r>
              <w:t>Observaciones:   La promoción no es directa, sino que incluye u</w:t>
            </w:r>
            <w:r>
              <w:t xml:space="preserve">n coloquio final                                                                                                                                     </w:t>
            </w:r>
          </w:p>
          <w:p w:rsidR="004E48E2" w:rsidRDefault="004E48E2">
            <w:pPr>
              <w:spacing w:after="160" w:line="259" w:lineRule="auto"/>
              <w:ind w:firstLine="0"/>
            </w:pPr>
          </w:p>
        </w:tc>
      </w:tr>
    </w:tbl>
    <w:p w:rsidR="004E48E2" w:rsidRDefault="00C04C74">
      <w:pPr>
        <w:spacing w:after="160" w:line="259" w:lineRule="auto"/>
        <w:ind w:firstLine="0"/>
        <w:jc w:val="center"/>
        <w:rPr>
          <w:b/>
          <w:bCs/>
        </w:rPr>
      </w:pPr>
      <w:r>
        <w:rPr>
          <w:b/>
          <w:bCs/>
          <w:noProof/>
          <w:lang w:val="en-US"/>
        </w:rPr>
        <w:drawing>
          <wp:inline distT="0" distB="0" distL="0" distR="0">
            <wp:extent cx="1332000" cy="804750"/>
            <wp:effectExtent l="0" t="0" r="0" b="0"/>
            <wp:docPr id="104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9"/>
                    <a:srcRect/>
                    <a:stretch>
                      <a:fillRect/>
                    </a:stretch>
                  </pic:blipFill>
                  <pic:spPr>
                    <a:xfrm>
                      <a:off x="0" y="0"/>
                      <a:ext cx="1332000" cy="804750"/>
                    </a:xfrm>
                    <a:prstGeom prst="rect">
                      <a:avLst/>
                    </a:prstGeom>
                    <a:ln/>
                  </pic:spPr>
                </pic:pic>
              </a:graphicData>
            </a:graphic>
          </wp:inline>
        </w:drawing>
      </w:r>
    </w:p>
    <w:p w:rsidR="004E48E2" w:rsidRDefault="00C04C74">
      <w:pPr>
        <w:spacing w:after="0" w:line="240" w:lineRule="auto"/>
        <w:ind w:firstLine="0"/>
        <w:jc w:val="center"/>
        <w:rPr>
          <w:b/>
          <w:bCs/>
        </w:rPr>
      </w:pPr>
      <w:r>
        <w:rPr>
          <w:b/>
          <w:bCs/>
        </w:rPr>
        <w:t>Firma del Profesor Responsable:</w:t>
      </w:r>
    </w:p>
    <w:p w:rsidR="004E48E2" w:rsidRDefault="00C04C74">
      <w:pPr>
        <w:spacing w:after="0" w:line="240" w:lineRule="auto"/>
        <w:ind w:firstLine="0"/>
        <w:jc w:val="center"/>
      </w:pPr>
      <w:r>
        <w:rPr>
          <w:b/>
          <w:bCs/>
        </w:rPr>
        <w:t>Aclaración de la firma:</w:t>
      </w:r>
    </w:p>
    <w:sectPr w:rsidR="004E48E2">
      <w:headerReference w:type="even" r:id="rId20"/>
      <w:headerReference w:type="default" r:id="rId21"/>
      <w:footerReference w:type="even" r:id="rId22"/>
      <w:footerReference w:type="default" r:id="rId23"/>
      <w:headerReference w:type="first" r:id="rId24"/>
      <w:footerReference w:type="first" r:id="rId25"/>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4C74" w:rsidRDefault="00C04C74">
      <w:pPr>
        <w:spacing w:after="0" w:line="240" w:lineRule="auto"/>
      </w:pPr>
      <w:r>
        <w:separator/>
      </w:r>
    </w:p>
  </w:endnote>
  <w:endnote w:type="continuationSeparator" w:id="0">
    <w:p w:rsidR="00C04C74" w:rsidRDefault="00C04C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A00BFFD7-7669-4AAC-B8F7-AB4C92D3BF77}"/>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5CF5265-4EF5-44CA-9E31-EF806D17BE6A}"/>
    <w:embedBold r:id="rId3" w:fontKey="{DEE5056A-2E80-49DB-8D21-580907EEC6DB}"/>
    <w:embedItalic r:id="rId4" w:fontKey="{D9ACD093-283E-41EB-9321-DDE4DEE359F8}"/>
    <w:embedBoldItalic r:id="rId5" w:fontKey="{FB097E81-D1C6-4D65-8CC2-71858C80914C}"/>
  </w:font>
  <w:font w:name="Cambria">
    <w:panose1 w:val="02040503050406030204"/>
    <w:charset w:val="00"/>
    <w:family w:val="roman"/>
    <w:pitch w:val="variable"/>
    <w:sig w:usb0="E00006FF" w:usb1="420024FF" w:usb2="02000000" w:usb3="00000000" w:csb0="0000019F" w:csb1="00000000"/>
    <w:embedRegular r:id="rId6" w:fontKey="{07665684-014C-4DD6-9557-B0D30E810859}"/>
    <w:embedBold r:id="rId7" w:fontKey="{918A204D-0E9E-40C7-9E0A-4FA125EBAC53}"/>
  </w:font>
  <w:font w:name="Tahoma">
    <w:panose1 w:val="020B0604030504040204"/>
    <w:charset w:val="00"/>
    <w:family w:val="roman"/>
    <w:notTrueType/>
    <w:pitch w:val="default"/>
    <w:embedRegular r:id="rId8" w:fontKey="{A343357B-F82C-40B5-A45C-294553119241}"/>
  </w:font>
  <w:font w:name="Georgia">
    <w:panose1 w:val="02040502050405020303"/>
    <w:charset w:val="00"/>
    <w:family w:val="auto"/>
    <w:pitch w:val="default"/>
    <w:embedItalic r:id="rId9" w:fontKey="{D6E15999-2F21-4B86-A015-E6E16FFC4010}"/>
  </w:font>
  <w:font w:name="Century Schoolbook">
    <w:panose1 w:val="02040604050505020304"/>
    <w:charset w:val="00"/>
    <w:family w:val="roman"/>
    <w:pitch w:val="variable"/>
    <w:sig w:usb0="00000287" w:usb1="00000000" w:usb2="00000000" w:usb3="00000000" w:csb0="0000009F" w:csb1="00000000"/>
    <w:embedRegular r:id="rId10" w:fontKey="{B07F1727-67A3-4AC5-B0C2-55D6F4DB368C}"/>
    <w:embedItalic r:id="rId11" w:fontKey="{AEAF39F8-D6DA-4F42-B8DE-797448C58DFA}"/>
  </w:font>
  <w:font w:name="Century Gothic">
    <w:panose1 w:val="020B0502020202020204"/>
    <w:charset w:val="00"/>
    <w:family w:val="swiss"/>
    <w:pitch w:val="variable"/>
    <w:sig w:usb0="00000287" w:usb1="00000000" w:usb2="00000000" w:usb3="00000000" w:csb0="0000009F" w:csb1="00000000"/>
    <w:embedRegular r:id="rId12" w:fontKey="{49187E18-8A9A-4974-92B6-AE336DABFD9D}"/>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8E2" w:rsidRDefault="004E48E2">
    <w:pPr>
      <w:pBdr>
        <w:top w:val="nil"/>
        <w:left w:val="nil"/>
        <w:bottom w:val="nil"/>
        <w:right w:val="nil"/>
        <w:between w:val="nil"/>
      </w:pBdr>
      <w:tabs>
        <w:tab w:val="center" w:pos="4252"/>
        <w:tab w:val="right" w:pos="8504"/>
      </w:tabs>
      <w:spacing w:after="0" w:line="240" w:lineRule="auto"/>
      <w:ind w:hanging="2"/>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8E2" w:rsidRDefault="004E48E2">
    <w:pPr>
      <w:widowControl w:val="0"/>
      <w:pBdr>
        <w:top w:val="nil"/>
        <w:left w:val="nil"/>
        <w:bottom w:val="nil"/>
        <w:right w:val="nil"/>
        <w:between w:val="nil"/>
      </w:pBdr>
      <w:spacing w:after="0"/>
      <w:ind w:hanging="2"/>
      <w:rPr>
        <w:color w:val="000000"/>
      </w:rPr>
    </w:pPr>
  </w:p>
  <w:tbl>
    <w:tblPr>
      <w:tblStyle w:val="a5"/>
      <w:tblW w:w="8720" w:type="dxa"/>
      <w:tblInd w:w="-106" w:type="dxa"/>
      <w:tblBorders>
        <w:top w:val="single" w:sz="18" w:space="0" w:color="808080"/>
        <w:left w:val="nil"/>
        <w:bottom w:val="nil"/>
        <w:right w:val="nil"/>
        <w:insideH w:val="nil"/>
        <w:insideV w:val="single" w:sz="18" w:space="0" w:color="808080"/>
      </w:tblBorders>
      <w:tblLayout w:type="fixed"/>
      <w:tblLook w:val="0000" w:firstRow="0" w:lastRow="0" w:firstColumn="0" w:lastColumn="0" w:noHBand="0" w:noVBand="0"/>
    </w:tblPr>
    <w:tblGrid>
      <w:gridCol w:w="908"/>
      <w:gridCol w:w="7812"/>
    </w:tblGrid>
    <w:tr w:rsidR="004E48E2">
      <w:tc>
        <w:tcPr>
          <w:tcW w:w="908" w:type="dxa"/>
          <w:tcBorders>
            <w:top w:val="single" w:sz="18" w:space="0" w:color="808080"/>
          </w:tcBorders>
        </w:tcPr>
        <w:p w:rsidR="004E48E2" w:rsidRDefault="00C04C74">
          <w:pPr>
            <w:pBdr>
              <w:top w:val="nil"/>
              <w:left w:val="nil"/>
              <w:bottom w:val="nil"/>
              <w:right w:val="nil"/>
              <w:between w:val="nil"/>
            </w:pBdr>
            <w:tabs>
              <w:tab w:val="center" w:pos="4252"/>
              <w:tab w:val="right" w:pos="8504"/>
            </w:tabs>
            <w:spacing w:after="0" w:line="240" w:lineRule="auto"/>
            <w:ind w:hanging="2"/>
            <w:jc w:val="right"/>
            <w:rPr>
              <w:color w:val="000000"/>
              <w:sz w:val="24"/>
              <w:szCs w:val="24"/>
            </w:rPr>
          </w:pPr>
          <w:r>
            <w:rPr>
              <w:color w:val="000000"/>
              <w:sz w:val="24"/>
              <w:szCs w:val="24"/>
            </w:rPr>
            <w:fldChar w:fldCharType="begin"/>
          </w:r>
          <w:r>
            <w:rPr>
              <w:color w:val="000000"/>
              <w:sz w:val="24"/>
              <w:szCs w:val="24"/>
            </w:rPr>
            <w:instrText>PAGE</w:instrText>
          </w:r>
          <w:r w:rsidR="008A547A">
            <w:rPr>
              <w:color w:val="000000"/>
              <w:sz w:val="24"/>
              <w:szCs w:val="24"/>
            </w:rPr>
            <w:fldChar w:fldCharType="separate"/>
          </w:r>
          <w:r w:rsidR="000B2875">
            <w:rPr>
              <w:noProof/>
              <w:color w:val="000000"/>
              <w:sz w:val="24"/>
              <w:szCs w:val="24"/>
            </w:rPr>
            <w:t>14</w:t>
          </w:r>
          <w:r>
            <w:rPr>
              <w:color w:val="000000"/>
              <w:sz w:val="24"/>
              <w:szCs w:val="24"/>
            </w:rPr>
            <w:fldChar w:fldCharType="end"/>
          </w:r>
        </w:p>
      </w:tc>
      <w:tc>
        <w:tcPr>
          <w:tcW w:w="7812" w:type="dxa"/>
          <w:tcBorders>
            <w:top w:val="single" w:sz="18" w:space="0" w:color="808080"/>
          </w:tcBorders>
        </w:tcPr>
        <w:p w:rsidR="004E48E2" w:rsidRDefault="004E48E2">
          <w:pPr>
            <w:pBdr>
              <w:top w:val="nil"/>
              <w:left w:val="nil"/>
              <w:bottom w:val="nil"/>
              <w:right w:val="nil"/>
              <w:between w:val="nil"/>
            </w:pBdr>
            <w:tabs>
              <w:tab w:val="center" w:pos="4252"/>
              <w:tab w:val="right" w:pos="8504"/>
            </w:tabs>
            <w:spacing w:after="0" w:line="240" w:lineRule="auto"/>
            <w:ind w:hanging="2"/>
            <w:rPr>
              <w:color w:val="000000"/>
            </w:rPr>
          </w:pPr>
        </w:p>
      </w:tc>
    </w:tr>
  </w:tbl>
  <w:p w:rsidR="004E48E2" w:rsidRDefault="004E48E2">
    <w:pPr>
      <w:pBdr>
        <w:top w:val="nil"/>
        <w:left w:val="nil"/>
        <w:bottom w:val="nil"/>
        <w:right w:val="nil"/>
        <w:between w:val="nil"/>
      </w:pBdr>
      <w:tabs>
        <w:tab w:val="center" w:pos="4252"/>
        <w:tab w:val="right" w:pos="8504"/>
      </w:tabs>
      <w:spacing w:after="0" w:line="240" w:lineRule="auto"/>
      <w:ind w:hanging="2"/>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8E2" w:rsidRDefault="004E48E2">
    <w:pPr>
      <w:pBdr>
        <w:top w:val="nil"/>
        <w:left w:val="nil"/>
        <w:bottom w:val="nil"/>
        <w:right w:val="nil"/>
        <w:between w:val="nil"/>
      </w:pBdr>
      <w:tabs>
        <w:tab w:val="center" w:pos="4252"/>
        <w:tab w:val="right" w:pos="8504"/>
      </w:tabs>
      <w:spacing w:after="0" w:line="240" w:lineRule="auto"/>
      <w:ind w:hanging="2"/>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4C74" w:rsidRDefault="00C04C74">
      <w:pPr>
        <w:spacing w:after="0" w:line="240" w:lineRule="auto"/>
      </w:pPr>
      <w:r>
        <w:separator/>
      </w:r>
    </w:p>
  </w:footnote>
  <w:footnote w:type="continuationSeparator" w:id="0">
    <w:p w:rsidR="00C04C74" w:rsidRDefault="00C04C74">
      <w:pPr>
        <w:spacing w:after="0" w:line="240" w:lineRule="auto"/>
      </w:pPr>
      <w:r>
        <w:continuationSeparator/>
      </w:r>
    </w:p>
  </w:footnote>
  <w:footnote w:id="1">
    <w:p w:rsidR="004E48E2" w:rsidRDefault="00C04C74">
      <w:pPr>
        <w:spacing w:after="0" w:line="240" w:lineRule="auto"/>
        <w:ind w:hanging="2"/>
        <w:jc w:val="both"/>
        <w:rPr>
          <w:sz w:val="20"/>
          <w:szCs w:val="20"/>
        </w:rPr>
      </w:pPr>
      <w:r>
        <w:rPr>
          <w:vertAlign w:val="superscript"/>
        </w:rPr>
        <w:footnoteRef/>
      </w:r>
      <w:r>
        <w:rPr>
          <w:sz w:val="20"/>
          <w:szCs w:val="20"/>
        </w:rPr>
        <w:t xml:space="preserve"> Esta planilla reemplaza la nota que debía presentar cada docente para solicitar </w:t>
      </w:r>
      <w:r>
        <w:rPr>
          <w:sz w:val="20"/>
          <w:szCs w:val="20"/>
        </w:rPr>
        <w:t>la autorización para implementar el sistema de promoción en las asignaturas. Se presenta junto con el programa de la asignatura.</w:t>
      </w:r>
    </w:p>
  </w:footnote>
  <w:footnote w:id="2">
    <w:p w:rsidR="004E48E2" w:rsidRDefault="00C04C74">
      <w:pPr>
        <w:pBdr>
          <w:top w:val="nil"/>
          <w:left w:val="nil"/>
          <w:bottom w:val="nil"/>
          <w:right w:val="nil"/>
          <w:between w:val="nil"/>
        </w:pBdr>
        <w:spacing w:after="0" w:line="240" w:lineRule="auto"/>
        <w:ind w:hanging="2"/>
        <w:rPr>
          <w:color w:val="000000"/>
          <w:sz w:val="20"/>
          <w:szCs w:val="20"/>
        </w:rPr>
      </w:pPr>
      <w:r>
        <w:rPr>
          <w:vertAlign w:val="superscript"/>
        </w:rPr>
        <w:footnoteRef/>
      </w:r>
      <w:r>
        <w:rPr>
          <w:color w:val="000000"/>
          <w:sz w:val="20"/>
          <w:szCs w:val="20"/>
        </w:rPr>
        <w:t xml:space="preserve"> Cada profesor podrá presentar sólo una planilla conteniendo todas las asignaturas a su cargo para las que solicita la condición de promoción para los estudiantes cursantes.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8E2" w:rsidRDefault="004E48E2">
    <w:pPr>
      <w:pBdr>
        <w:top w:val="nil"/>
        <w:left w:val="nil"/>
        <w:bottom w:val="nil"/>
        <w:right w:val="nil"/>
        <w:between w:val="nil"/>
      </w:pBdr>
      <w:tabs>
        <w:tab w:val="center" w:pos="4252"/>
        <w:tab w:val="right" w:pos="8504"/>
      </w:tabs>
      <w:spacing w:after="0" w:line="240" w:lineRule="auto"/>
      <w:ind w:hanging="2"/>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8E2" w:rsidRDefault="00C04C74">
    <w:pPr>
      <w:spacing w:after="0" w:line="240" w:lineRule="auto"/>
      <w:ind w:hanging="2"/>
      <w:jc w:val="center"/>
      <w:rPr>
        <w:rFonts w:ascii="Century Schoolbook" w:eastAsia="Century Schoolbook" w:hAnsi="Century Schoolbook" w:cs="Century Schoolbook"/>
        <w:sz w:val="24"/>
        <w:szCs w:val="24"/>
      </w:rPr>
    </w:pPr>
    <w:r>
      <w:rPr>
        <w:rFonts w:ascii="Century Schoolbook" w:eastAsia="Century Schoolbook" w:hAnsi="Century Schoolbook" w:cs="Century Schoolbook"/>
        <w:i/>
        <w:iCs/>
        <w:sz w:val="24"/>
        <w:szCs w:val="24"/>
      </w:rPr>
      <w:t>Universidad Nacional de Río Cuarto</w:t>
    </w:r>
    <w:r>
      <w:rPr>
        <w:noProof/>
        <w:lang w:val="en-US"/>
      </w:rPr>
      <w:drawing>
        <wp:anchor distT="0" distB="0" distL="114300" distR="114300" simplePos="0" relativeHeight="251658240" behindDoc="0" locked="0" layoutInCell="1" hidden="0" allowOverlap="1">
          <wp:simplePos x="0" y="0"/>
          <wp:positionH relativeFrom="column">
            <wp:posOffset>99701</wp:posOffset>
          </wp:positionH>
          <wp:positionV relativeFrom="paragraph">
            <wp:posOffset>-27936</wp:posOffset>
          </wp:positionV>
          <wp:extent cx="346710" cy="508635"/>
          <wp:effectExtent l="0" t="0" r="0" b="0"/>
          <wp:wrapNone/>
          <wp:docPr id="104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346710" cy="508635"/>
                  </a:xfrm>
                  <a:prstGeom prst="rect">
                    <a:avLst/>
                  </a:prstGeom>
                  <a:ln/>
                </pic:spPr>
              </pic:pic>
            </a:graphicData>
          </a:graphic>
        </wp:anchor>
      </w:drawing>
    </w:r>
    <w:r>
      <w:rPr>
        <w:noProof/>
        <w:lang w:val="en-US"/>
      </w:rPr>
      <w:drawing>
        <wp:anchor distT="0" distB="0" distL="114300" distR="114300" simplePos="0" relativeHeight="251659264" behindDoc="0" locked="0" layoutInCell="1" hidden="0" allowOverlap="1">
          <wp:simplePos x="0" y="0"/>
          <wp:positionH relativeFrom="column">
            <wp:posOffset>5085080</wp:posOffset>
          </wp:positionH>
          <wp:positionV relativeFrom="paragraph">
            <wp:posOffset>-92071</wp:posOffset>
          </wp:positionV>
          <wp:extent cx="426085" cy="564515"/>
          <wp:effectExtent l="0" t="0" r="0" b="0"/>
          <wp:wrapNone/>
          <wp:docPr id="103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
                  <a:srcRect/>
                  <a:stretch>
                    <a:fillRect/>
                  </a:stretch>
                </pic:blipFill>
                <pic:spPr>
                  <a:xfrm>
                    <a:off x="0" y="0"/>
                    <a:ext cx="426085" cy="564515"/>
                  </a:xfrm>
                  <a:prstGeom prst="rect">
                    <a:avLst/>
                  </a:prstGeom>
                  <a:ln/>
                </pic:spPr>
              </pic:pic>
            </a:graphicData>
          </a:graphic>
        </wp:anchor>
      </w:drawing>
    </w:r>
  </w:p>
  <w:p w:rsidR="004E48E2" w:rsidRDefault="004E48E2">
    <w:pPr>
      <w:spacing w:after="0" w:line="240" w:lineRule="auto"/>
      <w:ind w:hanging="2"/>
      <w:jc w:val="center"/>
      <w:rPr>
        <w:rFonts w:ascii="Century Schoolbook" w:eastAsia="Century Schoolbook" w:hAnsi="Century Schoolbook" w:cs="Century Schoolbook"/>
        <w:sz w:val="16"/>
        <w:szCs w:val="16"/>
      </w:rPr>
    </w:pPr>
  </w:p>
  <w:p w:rsidR="004E48E2" w:rsidRDefault="00C04C74">
    <w:pPr>
      <w:spacing w:after="0" w:line="240" w:lineRule="auto"/>
      <w:ind w:hanging="2"/>
      <w:jc w:val="center"/>
      <w:rPr>
        <w:rFonts w:ascii="Century Gothic" w:eastAsia="Century Gothic" w:hAnsi="Century Gothic" w:cs="Century Gothic"/>
        <w:sz w:val="24"/>
        <w:szCs w:val="24"/>
      </w:rPr>
    </w:pPr>
    <w:r>
      <w:rPr>
        <w:rFonts w:ascii="Century Schoolbook" w:eastAsia="Century Schoolbook" w:hAnsi="Century Schoolbook" w:cs="Century Schoolbook"/>
        <w:i/>
        <w:iCs/>
        <w:sz w:val="24"/>
        <w:szCs w:val="24"/>
      </w:rPr>
      <w:t>Facultad de Ciencias Humanas</w:t>
    </w:r>
  </w:p>
  <w:p w:rsidR="004E48E2" w:rsidRDefault="00C04C74">
    <w:pPr>
      <w:spacing w:after="0" w:line="240" w:lineRule="auto"/>
      <w:ind w:hanging="2"/>
      <w:rPr>
        <w:rFonts w:ascii="Century Gothic" w:eastAsia="Century Gothic" w:hAnsi="Century Gothic" w:cs="Century Gothic"/>
        <w:sz w:val="24"/>
        <w:szCs w:val="24"/>
      </w:rPr>
    </w:pPr>
    <w:r>
      <w:rPr>
        <w:noProof/>
        <w:lang w:val="en-US"/>
      </w:rPr>
      <mc:AlternateContent>
        <mc:Choice Requires="wps">
          <w:drawing>
            <wp:anchor distT="0" distB="0" distL="114300" distR="114300" simplePos="0" relativeHeight="251660288" behindDoc="0" locked="0" layoutInCell="1" hidden="0" allowOverlap="1">
              <wp:simplePos x="0" y="0"/>
              <wp:positionH relativeFrom="column">
                <wp:posOffset>-133346</wp:posOffset>
              </wp:positionH>
              <wp:positionV relativeFrom="paragraph">
                <wp:posOffset>76200</wp:posOffset>
              </wp:positionV>
              <wp:extent cx="9525" cy="38100"/>
              <wp:effectExtent l="0" t="0" r="0" b="0"/>
              <wp:wrapNone/>
              <wp:docPr id="1038" name="Conector recto de flecha 1038"/>
              <wp:cNvGraphicFramePr/>
              <a:graphic xmlns:a="http://schemas.openxmlformats.org/drawingml/2006/main">
                <a:graphicData uri="http://schemas.microsoft.com/office/word/2010/wordprocessingShape">
                  <wps:wsp>
                    <wps:cNvCnPr/>
                    <wps:spPr>
                      <a:xfrm rot="10800000" flipH="1">
                        <a:off x="2502153" y="3775238"/>
                        <a:ext cx="5687695" cy="9525"/>
                      </a:xfrm>
                      <a:prstGeom prst="straightConnector1">
                        <a:avLst/>
                      </a:prstGeom>
                      <a:solidFill>
                        <a:srgbClr val="FFFFFF"/>
                      </a:solidFill>
                      <a:ln w="38100" cap="flat" cmpd="sng">
                        <a:solidFill>
                          <a:srgbClr val="7F7F7F"/>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-133346</wp:posOffset>
              </wp:positionH>
              <wp:positionV relativeFrom="paragraph">
                <wp:posOffset>76200</wp:posOffset>
              </wp:positionV>
              <wp:extent cx="9525" cy="38100"/>
              <wp:effectExtent b="0" l="0" r="0" t="0"/>
              <wp:wrapNone/>
              <wp:docPr id="1038" name="image5.png"/>
              <a:graphic>
                <a:graphicData uri="http://schemas.openxmlformats.org/drawingml/2006/picture">
                  <pic:pic>
                    <pic:nvPicPr>
                      <pic:cNvPr id="0" name="image5.png"/>
                      <pic:cNvPicPr preferRelativeResize="0"/>
                    </pic:nvPicPr>
                    <pic:blipFill>
                      <a:blip r:embed="rId3"/>
                      <a:srcRect/>
                      <a:stretch>
                        <a:fillRect/>
                      </a:stretch>
                    </pic:blipFill>
                    <pic:spPr>
                      <a:xfrm>
                        <a:off x="0" y="0"/>
                        <a:ext cx="9525" cy="38100"/>
                      </a:xfrm>
                      <a:prstGeom prst="rect"/>
                      <a:ln/>
                    </pic:spPr>
                  </pic:pic>
                </a:graphicData>
              </a:graphic>
            </wp:anchor>
          </w:drawing>
        </mc:Fallback>
      </mc:AlternateContent>
    </w:r>
  </w:p>
  <w:p w:rsidR="004E48E2" w:rsidRDefault="004E48E2">
    <w:pPr>
      <w:pBdr>
        <w:top w:val="nil"/>
        <w:left w:val="nil"/>
        <w:bottom w:val="nil"/>
        <w:right w:val="nil"/>
        <w:between w:val="nil"/>
      </w:pBdr>
      <w:tabs>
        <w:tab w:val="center" w:pos="4252"/>
        <w:tab w:val="right" w:pos="8504"/>
      </w:tabs>
      <w:spacing w:after="0" w:line="240" w:lineRule="auto"/>
      <w:ind w:hanging="2"/>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8E2" w:rsidRDefault="004E48E2">
    <w:pPr>
      <w:pBdr>
        <w:top w:val="nil"/>
        <w:left w:val="nil"/>
        <w:bottom w:val="nil"/>
        <w:right w:val="nil"/>
        <w:between w:val="nil"/>
      </w:pBdr>
      <w:tabs>
        <w:tab w:val="center" w:pos="4252"/>
        <w:tab w:val="right" w:pos="8504"/>
      </w:tabs>
      <w:spacing w:after="0" w:line="240" w:lineRule="auto"/>
      <w:ind w:hanging="2"/>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A7363"/>
    <w:multiLevelType w:val="multilevel"/>
    <w:tmpl w:val="C13CBC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820C34"/>
    <w:multiLevelType w:val="multilevel"/>
    <w:tmpl w:val="ACDAB6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9296D32"/>
    <w:multiLevelType w:val="multilevel"/>
    <w:tmpl w:val="C06690DA"/>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3" w15:restartNumberingAfterBreak="0">
    <w:nsid w:val="1CCC75AF"/>
    <w:multiLevelType w:val="multilevel"/>
    <w:tmpl w:val="231EAB2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1E8C2AE4"/>
    <w:multiLevelType w:val="multilevel"/>
    <w:tmpl w:val="57B64C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5031E04"/>
    <w:multiLevelType w:val="multilevel"/>
    <w:tmpl w:val="5058AE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AC211E5"/>
    <w:multiLevelType w:val="multilevel"/>
    <w:tmpl w:val="829AB44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2FEC1A7B"/>
    <w:multiLevelType w:val="multilevel"/>
    <w:tmpl w:val="521A2906"/>
    <w:lvl w:ilvl="0">
      <w:start w:val="7"/>
      <w:numFmt w:val="decimal"/>
      <w:lvlText w:val="%1."/>
      <w:lvlJc w:val="left"/>
      <w:pPr>
        <w:ind w:left="1004" w:hanging="360"/>
      </w:pPr>
      <w:rPr>
        <w:rFonts w:ascii="Arial" w:eastAsia="Arial" w:hAnsi="Arial" w:cs="Arial"/>
        <w:b/>
        <w:bCs/>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8" w15:restartNumberingAfterBreak="0">
    <w:nsid w:val="3D331653"/>
    <w:multiLevelType w:val="multilevel"/>
    <w:tmpl w:val="48BA5B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EF873B9"/>
    <w:multiLevelType w:val="multilevel"/>
    <w:tmpl w:val="A606B9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8D30AA8"/>
    <w:multiLevelType w:val="multilevel"/>
    <w:tmpl w:val="FF9E1A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BD5740E"/>
    <w:multiLevelType w:val="multilevel"/>
    <w:tmpl w:val="321809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CD12F07"/>
    <w:multiLevelType w:val="multilevel"/>
    <w:tmpl w:val="BA4C663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15:restartNumberingAfterBreak="0">
    <w:nsid w:val="518F289B"/>
    <w:multiLevelType w:val="multilevel"/>
    <w:tmpl w:val="027810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7A22DA3"/>
    <w:multiLevelType w:val="multilevel"/>
    <w:tmpl w:val="11D6BCA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15:restartNumberingAfterBreak="0">
    <w:nsid w:val="61EE3C18"/>
    <w:multiLevelType w:val="multilevel"/>
    <w:tmpl w:val="38AA3280"/>
    <w:lvl w:ilvl="0">
      <w:start w:val="3"/>
      <w:numFmt w:val="bullet"/>
      <w:lvlText w:val="-"/>
      <w:lvlJc w:val="left"/>
      <w:pPr>
        <w:ind w:left="358" w:hanging="360"/>
      </w:pPr>
      <w:rPr>
        <w:rFonts w:ascii="Times New Roman" w:eastAsia="Times New Roman" w:hAnsi="Times New Roman" w:cs="Times New Roman"/>
      </w:rPr>
    </w:lvl>
    <w:lvl w:ilvl="1">
      <w:start w:val="1"/>
      <w:numFmt w:val="bullet"/>
      <w:lvlText w:val="o"/>
      <w:lvlJc w:val="left"/>
      <w:pPr>
        <w:ind w:left="1078" w:hanging="360"/>
      </w:pPr>
      <w:rPr>
        <w:rFonts w:ascii="Courier New" w:eastAsia="Courier New" w:hAnsi="Courier New" w:cs="Courier New"/>
      </w:rPr>
    </w:lvl>
    <w:lvl w:ilvl="2">
      <w:start w:val="1"/>
      <w:numFmt w:val="bullet"/>
      <w:lvlText w:val="▪"/>
      <w:lvlJc w:val="left"/>
      <w:pPr>
        <w:ind w:left="1798" w:hanging="360"/>
      </w:pPr>
      <w:rPr>
        <w:rFonts w:ascii="Noto Sans Symbols" w:eastAsia="Noto Sans Symbols" w:hAnsi="Noto Sans Symbols" w:cs="Noto Sans Symbols"/>
      </w:rPr>
    </w:lvl>
    <w:lvl w:ilvl="3">
      <w:start w:val="1"/>
      <w:numFmt w:val="bullet"/>
      <w:lvlText w:val="●"/>
      <w:lvlJc w:val="left"/>
      <w:pPr>
        <w:ind w:left="2518" w:hanging="360"/>
      </w:pPr>
      <w:rPr>
        <w:rFonts w:ascii="Noto Sans Symbols" w:eastAsia="Noto Sans Symbols" w:hAnsi="Noto Sans Symbols" w:cs="Noto Sans Symbols"/>
      </w:rPr>
    </w:lvl>
    <w:lvl w:ilvl="4">
      <w:start w:val="1"/>
      <w:numFmt w:val="bullet"/>
      <w:lvlText w:val="o"/>
      <w:lvlJc w:val="left"/>
      <w:pPr>
        <w:ind w:left="3238" w:hanging="360"/>
      </w:pPr>
      <w:rPr>
        <w:rFonts w:ascii="Courier New" w:eastAsia="Courier New" w:hAnsi="Courier New" w:cs="Courier New"/>
      </w:rPr>
    </w:lvl>
    <w:lvl w:ilvl="5">
      <w:start w:val="1"/>
      <w:numFmt w:val="bullet"/>
      <w:lvlText w:val="▪"/>
      <w:lvlJc w:val="left"/>
      <w:pPr>
        <w:ind w:left="3958" w:hanging="360"/>
      </w:pPr>
      <w:rPr>
        <w:rFonts w:ascii="Noto Sans Symbols" w:eastAsia="Noto Sans Symbols" w:hAnsi="Noto Sans Symbols" w:cs="Noto Sans Symbols"/>
      </w:rPr>
    </w:lvl>
    <w:lvl w:ilvl="6">
      <w:start w:val="1"/>
      <w:numFmt w:val="bullet"/>
      <w:lvlText w:val="●"/>
      <w:lvlJc w:val="left"/>
      <w:pPr>
        <w:ind w:left="4678" w:hanging="360"/>
      </w:pPr>
      <w:rPr>
        <w:rFonts w:ascii="Noto Sans Symbols" w:eastAsia="Noto Sans Symbols" w:hAnsi="Noto Sans Symbols" w:cs="Noto Sans Symbols"/>
      </w:rPr>
    </w:lvl>
    <w:lvl w:ilvl="7">
      <w:start w:val="1"/>
      <w:numFmt w:val="bullet"/>
      <w:lvlText w:val="o"/>
      <w:lvlJc w:val="left"/>
      <w:pPr>
        <w:ind w:left="5398" w:hanging="360"/>
      </w:pPr>
      <w:rPr>
        <w:rFonts w:ascii="Courier New" w:eastAsia="Courier New" w:hAnsi="Courier New" w:cs="Courier New"/>
      </w:rPr>
    </w:lvl>
    <w:lvl w:ilvl="8">
      <w:start w:val="1"/>
      <w:numFmt w:val="bullet"/>
      <w:lvlText w:val="▪"/>
      <w:lvlJc w:val="left"/>
      <w:pPr>
        <w:ind w:left="6118" w:hanging="360"/>
      </w:pPr>
      <w:rPr>
        <w:rFonts w:ascii="Noto Sans Symbols" w:eastAsia="Noto Sans Symbols" w:hAnsi="Noto Sans Symbols" w:cs="Noto Sans Symbols"/>
      </w:rPr>
    </w:lvl>
  </w:abstractNum>
  <w:abstractNum w:abstractNumId="16" w15:restartNumberingAfterBreak="0">
    <w:nsid w:val="685C6AD8"/>
    <w:multiLevelType w:val="multilevel"/>
    <w:tmpl w:val="3788AB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4356F43"/>
    <w:multiLevelType w:val="multilevel"/>
    <w:tmpl w:val="789C9D5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79AA4403"/>
    <w:multiLevelType w:val="multilevel"/>
    <w:tmpl w:val="D982DB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D4A5B20"/>
    <w:multiLevelType w:val="multilevel"/>
    <w:tmpl w:val="41BE7D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6"/>
  </w:num>
  <w:num w:numId="2">
    <w:abstractNumId w:val="2"/>
  </w:num>
  <w:num w:numId="3">
    <w:abstractNumId w:val="13"/>
  </w:num>
  <w:num w:numId="4">
    <w:abstractNumId w:val="9"/>
  </w:num>
  <w:num w:numId="5">
    <w:abstractNumId w:val="4"/>
  </w:num>
  <w:num w:numId="6">
    <w:abstractNumId w:val="18"/>
  </w:num>
  <w:num w:numId="7">
    <w:abstractNumId w:val="1"/>
  </w:num>
  <w:num w:numId="8">
    <w:abstractNumId w:val="11"/>
  </w:num>
  <w:num w:numId="9">
    <w:abstractNumId w:val="19"/>
  </w:num>
  <w:num w:numId="10">
    <w:abstractNumId w:val="8"/>
  </w:num>
  <w:num w:numId="11">
    <w:abstractNumId w:val="10"/>
  </w:num>
  <w:num w:numId="12">
    <w:abstractNumId w:val="15"/>
  </w:num>
  <w:num w:numId="13">
    <w:abstractNumId w:val="14"/>
  </w:num>
  <w:num w:numId="14">
    <w:abstractNumId w:val="6"/>
  </w:num>
  <w:num w:numId="15">
    <w:abstractNumId w:val="12"/>
  </w:num>
  <w:num w:numId="16">
    <w:abstractNumId w:val="3"/>
  </w:num>
  <w:num w:numId="17">
    <w:abstractNumId w:val="7"/>
  </w:num>
  <w:num w:numId="18">
    <w:abstractNumId w:val="5"/>
  </w:num>
  <w:num w:numId="19">
    <w:abstractNumId w:val="0"/>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48E2"/>
    <w:rsid w:val="000B2875"/>
    <w:rsid w:val="004E48E2"/>
    <w:rsid w:val="008A547A"/>
    <w:rsid w:val="00C04C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C39E6B-E92E-4062-8B7B-6E4656420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 w:eastAsia="en-US" w:bidi="ar-SA"/>
      </w:rPr>
    </w:rPrDefault>
    <w:pPrDefault>
      <w:pPr>
        <w:spacing w:after="200" w:line="276" w:lineRule="auto"/>
        <w:ind w:hang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0"/>
      <w:outlineLvl w:val="0"/>
    </w:pPr>
    <w:rPr>
      <w:rFonts w:ascii="Cambria" w:eastAsia="Cambria" w:hAnsi="Cambria" w:cs="Cambria"/>
      <w:b/>
      <w:bCs/>
      <w:color w:val="365F91"/>
      <w:sz w:val="28"/>
      <w:szCs w:val="2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spacing w:before="240" w:after="60"/>
      <w:outlineLvl w:val="2"/>
    </w:pPr>
    <w:rPr>
      <w:rFonts w:ascii="Cambria" w:eastAsia="Cambria" w:hAnsi="Cambria" w:cs="Cambria"/>
      <w:b/>
      <w:bCs/>
      <w:sz w:val="26"/>
      <w:szCs w:val="26"/>
    </w:rPr>
  </w:style>
  <w:style w:type="paragraph" w:styleId="Ttulo4">
    <w:name w:val="heading 4"/>
    <w:basedOn w:val="Normal"/>
    <w:next w:val="Normal"/>
    <w:pPr>
      <w:keepNext/>
      <w:spacing w:before="240" w:after="60"/>
      <w:outlineLvl w:val="3"/>
    </w:pPr>
    <w:rPr>
      <w:b/>
      <w:bCs/>
      <w:sz w:val="28"/>
      <w:szCs w:val="28"/>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 Normal"/>
    <w:tblPr>
      <w:tblCellMar>
        <w:top w:w="0" w:type="dxa"/>
        <w:left w:w="0" w:type="dxa"/>
        <w:bottom w:w="0" w:type="dxa"/>
        <w:right w:w="0" w:type="dxa"/>
      </w:tblCellMar>
    </w:tblPr>
  </w:style>
  <w:style w:type="character" w:customStyle="1" w:styleId="Ttulo1Car">
    <w:name w:val="Título 1 Car"/>
    <w:rPr>
      <w:rFonts w:ascii="Cambria" w:hAnsi="Cambria" w:cs="Cambria"/>
      <w:b/>
      <w:bCs/>
      <w:color w:val="365F91"/>
      <w:w w:val="100"/>
      <w:position w:val="-1"/>
      <w:sz w:val="28"/>
      <w:szCs w:val="28"/>
      <w:effect w:val="none"/>
      <w:vertAlign w:val="baseline"/>
      <w:cs w:val="0"/>
      <w:em w:val="none"/>
    </w:rPr>
  </w:style>
  <w:style w:type="paragraph" w:styleId="Encabezado">
    <w:name w:val="header"/>
    <w:basedOn w:val="Normal"/>
    <w:pPr>
      <w:tabs>
        <w:tab w:val="center" w:pos="4252"/>
        <w:tab w:val="right" w:pos="8504"/>
      </w:tabs>
      <w:spacing w:after="0" w:line="240" w:lineRule="auto"/>
    </w:pPr>
  </w:style>
  <w:style w:type="character" w:customStyle="1" w:styleId="EncabezadoCar">
    <w:name w:val="Encabezado Car"/>
    <w:rPr>
      <w:w w:val="100"/>
      <w:position w:val="-1"/>
      <w:effect w:val="none"/>
      <w:vertAlign w:val="baseline"/>
      <w:cs w:val="0"/>
      <w:em w:val="none"/>
    </w:rPr>
  </w:style>
  <w:style w:type="paragraph" w:styleId="Piedepgina">
    <w:name w:val="footer"/>
    <w:basedOn w:val="Normal"/>
    <w:pPr>
      <w:tabs>
        <w:tab w:val="center" w:pos="4252"/>
        <w:tab w:val="right" w:pos="8504"/>
      </w:tabs>
      <w:spacing w:after="0" w:line="240" w:lineRule="auto"/>
    </w:pPr>
  </w:style>
  <w:style w:type="character" w:customStyle="1" w:styleId="PiedepginaCar">
    <w:name w:val="Pie de página Car"/>
    <w:rPr>
      <w:w w:val="100"/>
      <w:position w:val="-1"/>
      <w:effect w:val="none"/>
      <w:vertAlign w:val="baseline"/>
      <w:cs w:val="0"/>
      <w:em w:val="none"/>
    </w:rPr>
  </w:style>
  <w:style w:type="paragraph" w:styleId="Textodeglobo">
    <w:name w:val="Balloon Text"/>
    <w:basedOn w:val="Normal"/>
    <w:pPr>
      <w:spacing w:after="0" w:line="240" w:lineRule="auto"/>
    </w:pPr>
    <w:rPr>
      <w:rFonts w:ascii="Tahoma" w:eastAsia="Times New Roman" w:hAnsi="Tahoma" w:cs="Tahoma"/>
      <w:sz w:val="16"/>
      <w:szCs w:val="16"/>
    </w:rPr>
  </w:style>
  <w:style w:type="character" w:customStyle="1" w:styleId="TextodegloboCar">
    <w:name w:val="Texto de globo Car"/>
    <w:rPr>
      <w:rFonts w:ascii="Tahoma" w:hAnsi="Tahoma" w:cs="Tahoma"/>
      <w:w w:val="100"/>
      <w:position w:val="-1"/>
      <w:sz w:val="16"/>
      <w:szCs w:val="16"/>
      <w:effect w:val="none"/>
      <w:vertAlign w:val="baseline"/>
      <w:cs w:val="0"/>
      <w:em w:val="none"/>
    </w:rPr>
  </w:style>
  <w:style w:type="table" w:styleId="Tablaconcuadrcula">
    <w:name w:val="Table Grid"/>
    <w:basedOn w:val="Tablanormal"/>
    <w:pPr>
      <w:suppressAutoHyphens/>
      <w:spacing w:line="1" w:lineRule="atLeast"/>
      <w:ind w:leftChars="-1" w:left="-1" w:hangingChars="1"/>
      <w:textDirection w:val="btLr"/>
      <w:textAlignment w:val="top"/>
      <w:outlineLvl w:val="0"/>
    </w:pPr>
    <w:rPr>
      <w:position w:val="-1"/>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rPr>
      <w:color w:val="808080"/>
      <w:w w:val="100"/>
      <w:position w:val="-1"/>
      <w:effect w:val="none"/>
      <w:vertAlign w:val="baseline"/>
      <w:cs w:val="0"/>
      <w:em w:val="none"/>
    </w:rPr>
  </w:style>
  <w:style w:type="character" w:customStyle="1" w:styleId="Estilo1">
    <w:name w:val="Estilo1"/>
    <w:rPr>
      <w:w w:val="100"/>
      <w:position w:val="-1"/>
      <w:sz w:val="32"/>
      <w:szCs w:val="32"/>
      <w:effect w:val="none"/>
      <w:vertAlign w:val="baseline"/>
      <w:cs w:val="0"/>
      <w:em w:val="none"/>
    </w:rPr>
  </w:style>
  <w:style w:type="character" w:styleId="Textoennegrita">
    <w:name w:val="Strong"/>
    <w:rPr>
      <w:b/>
      <w:bCs/>
      <w:w w:val="100"/>
      <w:position w:val="-1"/>
      <w:effect w:val="none"/>
      <w:vertAlign w:val="baseline"/>
      <w:cs w:val="0"/>
      <w:em w:val="none"/>
    </w:rPr>
  </w:style>
  <w:style w:type="paragraph" w:styleId="Textonotapie">
    <w:name w:val="footnote text"/>
    <w:basedOn w:val="Normal"/>
    <w:rPr>
      <w:sz w:val="20"/>
      <w:szCs w:val="20"/>
    </w:rPr>
  </w:style>
  <w:style w:type="character" w:customStyle="1" w:styleId="TextonotapieCar">
    <w:name w:val="Texto nota pie Car"/>
    <w:rPr>
      <w:w w:val="100"/>
      <w:position w:val="-1"/>
      <w:sz w:val="20"/>
      <w:szCs w:val="20"/>
      <w:effect w:val="none"/>
      <w:vertAlign w:val="baseline"/>
      <w:cs w:val="0"/>
      <w:em w:val="none"/>
      <w:lang w:val="es-ES"/>
    </w:rPr>
  </w:style>
  <w:style w:type="character" w:styleId="Refdenotaalpie">
    <w:name w:val="footnote reference"/>
    <w:rPr>
      <w:w w:val="100"/>
      <w:position w:val="-1"/>
      <w:effect w:val="none"/>
      <w:vertAlign w:val="superscript"/>
      <w:cs w:val="0"/>
      <w:em w:val="none"/>
    </w:rPr>
  </w:style>
  <w:style w:type="character" w:customStyle="1" w:styleId="Estilo2">
    <w:name w:val="Estilo2"/>
    <w:rPr>
      <w:rFonts w:ascii="Arial" w:hAnsi="Arial" w:cs="Times New Roman"/>
      <w:w w:val="100"/>
      <w:position w:val="-1"/>
      <w:sz w:val="22"/>
      <w:effect w:val="none"/>
      <w:vertAlign w:val="baseline"/>
      <w:cs w:val="0"/>
      <w:em w:val="none"/>
    </w:rPr>
  </w:style>
  <w:style w:type="paragraph" w:styleId="Prrafodelista">
    <w:name w:val="List Paragraph"/>
    <w:basedOn w:val="Normal"/>
    <w:pPr>
      <w:ind w:left="720"/>
      <w:contextualSpacing/>
    </w:pPr>
    <w:rPr>
      <w:rFonts w:cs="Times New Roman"/>
      <w:lang w:val="es-AR"/>
    </w:rPr>
  </w:style>
  <w:style w:type="character" w:customStyle="1" w:styleId="Estilo3">
    <w:name w:val="Estilo3"/>
    <w:rPr>
      <w:rFonts w:ascii="Arial" w:hAnsi="Arial" w:cs="Times New Roman"/>
      <w:w w:val="100"/>
      <w:position w:val="-1"/>
      <w:sz w:val="22"/>
      <w:effect w:val="none"/>
      <w:vertAlign w:val="baseline"/>
      <w:cs w:val="0"/>
      <w:em w:val="none"/>
    </w:rPr>
  </w:style>
  <w:style w:type="character" w:styleId="Refdecomentario">
    <w:name w:val="annotation reference"/>
    <w:rPr>
      <w:w w:val="100"/>
      <w:position w:val="-1"/>
      <w:sz w:val="16"/>
      <w:szCs w:val="16"/>
      <w:effect w:val="none"/>
      <w:vertAlign w:val="baseline"/>
      <w:cs w:val="0"/>
      <w:em w:val="none"/>
    </w:rPr>
  </w:style>
  <w:style w:type="paragraph" w:styleId="Textocomentario">
    <w:name w:val="annotation text"/>
    <w:basedOn w:val="Normal"/>
    <w:rPr>
      <w:sz w:val="20"/>
      <w:szCs w:val="20"/>
    </w:rPr>
  </w:style>
  <w:style w:type="paragraph" w:styleId="Asuntodelcomentario">
    <w:name w:val="annotation subject"/>
    <w:basedOn w:val="Textocomentario"/>
    <w:next w:val="Textocomentario"/>
    <w:rPr>
      <w:b/>
      <w:bCs/>
    </w:rPr>
  </w:style>
  <w:style w:type="character" w:customStyle="1" w:styleId="Ttulo4Car">
    <w:name w:val="Título 4 Car"/>
    <w:rPr>
      <w:rFonts w:ascii="Calibri" w:eastAsia="Times New Roman" w:hAnsi="Calibri" w:cs="Times New Roman"/>
      <w:b/>
      <w:bCs/>
      <w:w w:val="100"/>
      <w:position w:val="-1"/>
      <w:sz w:val="28"/>
      <w:szCs w:val="28"/>
      <w:effect w:val="none"/>
      <w:vertAlign w:val="baseline"/>
      <w:cs w:val="0"/>
      <w:em w:val="none"/>
      <w:lang w:val="es-ES" w:eastAsia="en-US"/>
    </w:rPr>
  </w:style>
  <w:style w:type="character" w:customStyle="1" w:styleId="Ttulo3Car">
    <w:name w:val="Título 3 Car"/>
    <w:rPr>
      <w:rFonts w:ascii="Cambria" w:eastAsia="Times New Roman" w:hAnsi="Cambria" w:cs="Times New Roman"/>
      <w:b/>
      <w:bCs/>
      <w:w w:val="100"/>
      <w:position w:val="-1"/>
      <w:sz w:val="26"/>
      <w:szCs w:val="26"/>
      <w:effect w:val="none"/>
      <w:vertAlign w:val="baseline"/>
      <w:cs w:val="0"/>
      <w:em w:val="none"/>
      <w:lang w:val="es-ES" w:eastAsia="en-US"/>
    </w:rPr>
  </w:style>
  <w:style w:type="character" w:customStyle="1" w:styleId="Textodelmarcadordeposicin1">
    <w:name w:val="Texto del marcador de posición1"/>
    <w:rPr>
      <w:color w:val="808080"/>
      <w:w w:val="100"/>
      <w:position w:val="-1"/>
      <w:effect w:val="none"/>
      <w:vertAlign w:val="baseline"/>
      <w:cs w:val="0"/>
      <w:em w:val="none"/>
    </w:rPr>
  </w:style>
  <w:style w:type="paragraph" w:styleId="Sangradetextonormal">
    <w:name w:val="Body Text Indent"/>
    <w:basedOn w:val="Normal"/>
    <w:qFormat/>
    <w:pPr>
      <w:spacing w:after="120" w:line="240" w:lineRule="auto"/>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rPr>
      <w:rFonts w:ascii="Times New Roman" w:eastAsia="Times New Roman" w:hAnsi="Times New Roman"/>
      <w:w w:val="100"/>
      <w:position w:val="-1"/>
      <w:sz w:val="24"/>
      <w:szCs w:val="24"/>
      <w:effect w:val="none"/>
      <w:vertAlign w:val="baseline"/>
      <w:cs w:val="0"/>
      <w:em w:val="none"/>
      <w:lang w:val="es-ES" w:eastAsia="es-ES"/>
    </w:rPr>
  </w:style>
  <w:style w:type="character" w:styleId="Hipervnculo">
    <w:name w:val="Hyperlink"/>
    <w:rPr>
      <w:color w:val="0000FF"/>
      <w:w w:val="100"/>
      <w:position w:val="-1"/>
      <w:u w:val="single"/>
      <w:effect w:val="none"/>
      <w:vertAlign w:val="baseline"/>
      <w:cs w:val="0"/>
      <w:em w:val="none"/>
    </w:rPr>
  </w:style>
  <w:style w:type="character" w:customStyle="1" w:styleId="SubttuloCar">
    <w:name w:val="Subtítulo Car"/>
    <w:rPr>
      <w:rFonts w:ascii="Cambria" w:eastAsia="Times New Roman" w:hAnsi="Cambria" w:cs="Times New Roman"/>
      <w:w w:val="100"/>
      <w:position w:val="-1"/>
      <w:sz w:val="24"/>
      <w:szCs w:val="24"/>
      <w:effect w:val="none"/>
      <w:vertAlign w:val="baseline"/>
      <w:cs w:val="0"/>
      <w:em w:val="none"/>
      <w:lang w:val="es-ES" w:eastAsia="en-US"/>
    </w:rPr>
  </w:style>
  <w:style w:type="paragraph" w:customStyle="1" w:styleId="Puesto">
    <w:name w:val="Puesto"/>
    <w:basedOn w:val="Normal"/>
    <w:pPr>
      <w:spacing w:before="240" w:after="60"/>
      <w:jc w:val="center"/>
    </w:pPr>
    <w:rPr>
      <w:rFonts w:ascii="Arial" w:eastAsia="Times New Roman" w:hAnsi="Arial" w:cs="Arial"/>
      <w:b/>
      <w:bCs/>
      <w:kern w:val="28"/>
      <w:sz w:val="32"/>
      <w:szCs w:val="32"/>
    </w:rPr>
  </w:style>
  <w:style w:type="paragraph" w:styleId="Textoindependiente">
    <w:name w:val="Body Text"/>
    <w:basedOn w:val="Normal"/>
    <w:pPr>
      <w:spacing w:after="120"/>
    </w:pPr>
  </w:style>
  <w:style w:type="character" w:customStyle="1" w:styleId="TextoindependienteCar">
    <w:name w:val="Texto independiente Car"/>
    <w:rPr>
      <w:w w:val="100"/>
      <w:position w:val="-1"/>
      <w:sz w:val="22"/>
      <w:szCs w:val="22"/>
      <w:effect w:val="none"/>
      <w:vertAlign w:val="baseline"/>
      <w:cs w:val="0"/>
      <w:em w:val="none"/>
      <w:lang w:val="es-ES" w:eastAsia="en-US"/>
    </w:rPr>
  </w:style>
  <w:style w:type="paragraph" w:styleId="Textoindependiente2">
    <w:name w:val="Body Text 2"/>
    <w:basedOn w:val="Normal"/>
    <w:pPr>
      <w:spacing w:after="120" w:line="480" w:lineRule="auto"/>
    </w:pPr>
  </w:style>
  <w:style w:type="character" w:customStyle="1" w:styleId="Textoindependiente2Car">
    <w:name w:val="Texto independiente 2 Car"/>
    <w:rPr>
      <w:w w:val="100"/>
      <w:position w:val="-1"/>
      <w:sz w:val="22"/>
      <w:szCs w:val="22"/>
      <w:effect w:val="none"/>
      <w:vertAlign w:val="baseline"/>
      <w:cs w:val="0"/>
      <w:em w:val="none"/>
      <w:lang w:val="es-ES" w:eastAsia="en-US"/>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cs="Times New Roman"/>
      <w:sz w:val="24"/>
      <w:szCs w:val="24"/>
      <w:lang w:val="es-AR" w:eastAsia="es-AR"/>
    </w:rPr>
  </w:style>
  <w:style w:type="character" w:customStyle="1" w:styleId="Mencinsinresolver">
    <w:name w:val="Mención sin resolver"/>
    <w:qFormat/>
    <w:rPr>
      <w:color w:val="605E5C"/>
      <w:w w:val="100"/>
      <w:position w:val="-1"/>
      <w:effect w:val="none"/>
      <w:shd w:val="clear" w:color="auto" w:fill="E1DFDD"/>
      <w:vertAlign w:val="baseline"/>
      <w:cs w:val="0"/>
      <w:em w:val="none"/>
    </w:rPr>
  </w:style>
  <w:style w:type="paragraph" w:styleId="Textonotaalfinal">
    <w:name w:val="endnote text"/>
    <w:basedOn w:val="Normal"/>
    <w:rPr>
      <w:sz w:val="20"/>
      <w:szCs w:val="20"/>
    </w:rPr>
  </w:style>
  <w:style w:type="character" w:customStyle="1" w:styleId="TextonotaalfinalCar">
    <w:name w:val="Texto nota al final Car"/>
    <w:rPr>
      <w:w w:val="100"/>
      <w:position w:val="-1"/>
      <w:effect w:val="none"/>
      <w:vertAlign w:val="baseline"/>
      <w:cs w:val="0"/>
      <w:em w:val="none"/>
      <w:lang w:val="es-ES"/>
    </w:rPr>
  </w:style>
  <w:style w:type="character" w:styleId="Refdenotaalfinal">
    <w:name w:val="endnote reference"/>
    <w:rPr>
      <w:w w:val="100"/>
      <w:position w:val="-1"/>
      <w:effect w:val="none"/>
      <w:vertAlign w:val="superscript"/>
      <w:cs w:val="0"/>
      <w:em w:val="none"/>
    </w:rPr>
  </w:style>
  <w:style w:type="table" w:customStyle="1" w:styleId="a">
    <w:basedOn w:val="TableNormal2"/>
    <w:tblPr>
      <w:tblStyleRowBandSize w:val="1"/>
      <w:tblStyleColBandSize w:val="1"/>
      <w:tblCellMar>
        <w:left w:w="108" w:type="dxa"/>
        <w:right w:w="108"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08" w:type="dxa"/>
        <w:right w:w="108" w:type="dxa"/>
      </w:tblCellMar>
    </w:tblPr>
  </w:style>
  <w:style w:type="table" w:customStyle="1" w:styleId="a2">
    <w:basedOn w:val="TableNormal1"/>
    <w:tblPr>
      <w:tblStyleRowBandSize w:val="1"/>
      <w:tblStyleColBandSize w:val="1"/>
      <w:tblCellMar>
        <w:top w:w="0" w:type="dxa"/>
        <w:left w:w="115" w:type="dxa"/>
        <w:bottom w:w="0" w:type="dxa"/>
        <w:right w:w="115" w:type="dxa"/>
      </w:tblCellMar>
    </w:tblPr>
  </w:style>
  <w:style w:type="table" w:customStyle="1" w:styleId="a3">
    <w:basedOn w:val="TableNormal1"/>
    <w:tblPr>
      <w:tblStyleRowBandSize w:val="1"/>
      <w:tblStyleColBandSize w:val="1"/>
      <w:tblCellMar>
        <w:top w:w="0" w:type="dxa"/>
        <w:left w:w="108" w:type="dxa"/>
        <w:bottom w:w="0" w:type="dxa"/>
        <w:right w:w="108" w:type="dxa"/>
      </w:tblCellMar>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drive.google.com/file/d/1nWAthwN3OYrHdvOXlrEl7FiPkYwwXWM/view?usp=share_link" TargetMode="External"/><Relationship Id="rId13" Type="http://schemas.openxmlformats.org/officeDocument/2006/relationships/hyperlink" Target="https://dialnet.unirioja.es/ejemplar/100445" TargetMode="External"/><Relationship Id="rId18" Type="http://schemas.openxmlformats.org/officeDocument/2006/relationships/hyperlink" Target="https://www.youtube.com/watch?v=QZdT8_qmY8I&amp;t=19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dialnet.unirioja.es/servlet/revista?codigo=5572" TargetMode="External"/><Relationship Id="rId17" Type="http://schemas.openxmlformats.org/officeDocument/2006/relationships/image" Target="media/image1.jp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mailto:denisreinoso@gmail.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epo.unlpam.edu.ar/handle/unlpam/5313"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mailto:dwagner@hum.unrc.edu.ar" TargetMode="External"/><Relationship Id="rId23" Type="http://schemas.openxmlformats.org/officeDocument/2006/relationships/footer" Target="footer2.xml"/><Relationship Id="rId10" Type="http://schemas.openxmlformats.org/officeDocument/2006/relationships/hyperlink" Target="https://www.youtube.com/watch?v=QZdT8_qmY8I&amp;t=19s" TargetMode="External"/><Relationship Id="rId19"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https://drive.google.com/file/d/1SVabN-b3npBPFIp6QP4vedtTx_jl203/view?usp=share_link" TargetMode="External"/><Relationship Id="rId14" Type="http://schemas.openxmlformats.org/officeDocument/2006/relationships/hyperlink" Target="http://pendientedemigracion.ucm.es/centros/cont/descargas/documento16815.pdf" TargetMode="External"/><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zM8tocrX5YrJ18zLUMULztJI8g==">CgMxLjAyCWlkLmdqZGd4czIKaWQuMzBqMHpsbDIKaWQuMWZvYjl0ZTIKaWQuM3pueXNoNzIKaWQuMmV0OTJwMDIJaWQudHlqY3d0MgppZC4zZHk2dmttMg5oLjdua21nOXV6dXZ2cTIKaWQuMXQzaDVzZjIOaC5nbXhybDJ3MmFnMjUyDmgueGNoOWwxaWlkbWh4Mg5oLjd1aThsM2lkeTV4cjIOaC5xcXdsc2RncGx6OXE4AHIhMWplaEpLYTVFLUtjSUZHMlNleDZ2MFU2QnR4Y1JBUH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5140</Words>
  <Characters>29298</Characters>
  <Application>Microsoft Office Word</Application>
  <DocSecurity>0</DocSecurity>
  <Lines>244</Lines>
  <Paragraphs>68</Paragraphs>
  <ScaleCrop>false</ScaleCrop>
  <Company/>
  <LinksUpToDate>false</LinksUpToDate>
  <CharactersWithSpaces>34370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roycan</dc:creator>
  <cp:lastModifiedBy>Usuario</cp:lastModifiedBy>
  <cp:revision>3</cp:revision>
  <dcterms:created xsi:type="dcterms:W3CDTF">2025-04-06T12:21:00Z</dcterms:created>
  <dcterms:modified xsi:type="dcterms:W3CDTF">2026-04-07T02:47:00Z</dcterms:modified>
</cp:coreProperties>
</file>