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69DF" w:rsidRPr="00464B87" w:rsidRDefault="00E269DF" w:rsidP="00DE7E58">
      <w:pPr>
        <w:spacing w:before="240" w:after="0" w:line="48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h.gjdgxs"/>
      <w:bookmarkEnd w:id="0"/>
    </w:p>
    <w:p w:rsidR="00DE7E58" w:rsidRPr="00464B87" w:rsidRDefault="00DE7E58" w:rsidP="00DE7E58">
      <w:pPr>
        <w:spacing w:before="240" w:after="0" w:line="48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64B87">
        <w:rPr>
          <w:rFonts w:ascii="Arial" w:eastAsia="Arial" w:hAnsi="Arial" w:cs="Arial"/>
          <w:b/>
          <w:sz w:val="24"/>
          <w:szCs w:val="24"/>
        </w:rPr>
        <w:t>UNIVERSIDAD NACIONAL  DE RÍO CUARTO</w:t>
      </w:r>
    </w:p>
    <w:p w:rsidR="00DE7E58" w:rsidRPr="00464B87" w:rsidRDefault="00DE7E58" w:rsidP="00DE7E58">
      <w:pPr>
        <w:spacing w:before="240" w:after="0" w:line="48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64B87">
        <w:rPr>
          <w:rFonts w:ascii="Arial" w:eastAsia="Arial" w:hAnsi="Arial" w:cs="Arial"/>
          <w:b/>
          <w:sz w:val="24"/>
          <w:szCs w:val="24"/>
        </w:rPr>
        <w:t>FACULTAD DE CIENCIAS HUMANAS</w:t>
      </w:r>
    </w:p>
    <w:p w:rsidR="000D012D" w:rsidRPr="00517B8E" w:rsidRDefault="00517B8E" w:rsidP="00517B8E">
      <w:pPr>
        <w:spacing w:after="0" w:line="480" w:lineRule="auto"/>
        <w:jc w:val="center"/>
        <w:rPr>
          <w:rFonts w:ascii="Arial" w:eastAsia="Arial" w:hAnsi="Arial" w:cs="Arial"/>
          <w:b/>
          <w:sz w:val="36"/>
          <w:szCs w:val="36"/>
        </w:rPr>
      </w:pPr>
      <w:bookmarkStart w:id="1" w:name="h.30j0zll"/>
      <w:bookmarkEnd w:id="1"/>
      <w:r w:rsidRPr="00517B8E">
        <w:rPr>
          <w:rFonts w:ascii="Arial" w:eastAsia="Arial" w:hAnsi="Arial" w:cs="Arial"/>
          <w:b/>
          <w:sz w:val="36"/>
          <w:szCs w:val="36"/>
        </w:rPr>
        <w:t>ABOGACÍA</w:t>
      </w:r>
    </w:p>
    <w:p w:rsidR="00C44499" w:rsidRDefault="00517B8E" w:rsidP="00517B8E">
      <w:pPr>
        <w:tabs>
          <w:tab w:val="left" w:pos="2179"/>
          <w:tab w:val="left" w:pos="4253"/>
        </w:tabs>
        <w:spacing w:after="0" w:line="480" w:lineRule="auto"/>
        <w:jc w:val="center"/>
        <w:rPr>
          <w:rFonts w:ascii="Arial" w:eastAsia="Arial" w:hAnsi="Arial" w:cs="Arial"/>
          <w:b/>
          <w:sz w:val="36"/>
          <w:szCs w:val="36"/>
          <w:lang w:val="pt-BR"/>
        </w:rPr>
      </w:pPr>
      <w:r w:rsidRPr="00517B8E">
        <w:rPr>
          <w:rFonts w:ascii="Arial" w:eastAsia="Arial" w:hAnsi="Arial" w:cs="Arial"/>
          <w:b/>
          <w:sz w:val="36"/>
          <w:szCs w:val="36"/>
          <w:lang w:val="pt-BR"/>
        </w:rPr>
        <w:t>DERECHO ADMINISTRATIVO PROFUNDIZADO</w:t>
      </w:r>
    </w:p>
    <w:p w:rsidR="00430BC6" w:rsidRPr="00517B8E" w:rsidRDefault="00430BC6" w:rsidP="00517B8E">
      <w:pPr>
        <w:tabs>
          <w:tab w:val="left" w:pos="2179"/>
          <w:tab w:val="left" w:pos="4253"/>
        </w:tabs>
        <w:spacing w:after="0" w:line="480" w:lineRule="auto"/>
        <w:jc w:val="center"/>
        <w:rPr>
          <w:rFonts w:ascii="Arial" w:eastAsia="Arial" w:hAnsi="Arial" w:cs="Arial"/>
          <w:b/>
          <w:sz w:val="36"/>
          <w:szCs w:val="36"/>
          <w:lang w:val="pt-BR"/>
        </w:rPr>
      </w:pPr>
      <w:r>
        <w:rPr>
          <w:rFonts w:ascii="Arial" w:eastAsia="Arial" w:hAnsi="Arial" w:cs="Arial"/>
          <w:b/>
          <w:sz w:val="36"/>
          <w:szCs w:val="36"/>
          <w:lang w:val="pt-BR"/>
        </w:rPr>
        <w:t xml:space="preserve">AÑO 2023 </w:t>
      </w:r>
    </w:p>
    <w:p w:rsidR="009D1A20" w:rsidRPr="00517B8E" w:rsidRDefault="000D012D" w:rsidP="00517B8E">
      <w:pPr>
        <w:tabs>
          <w:tab w:val="left" w:pos="2179"/>
          <w:tab w:val="left" w:pos="4253"/>
        </w:tabs>
        <w:spacing w:after="0" w:line="480" w:lineRule="au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464B87">
        <w:rPr>
          <w:rFonts w:ascii="Arial" w:eastAsia="Arial" w:hAnsi="Arial" w:cs="Arial"/>
          <w:b/>
          <w:sz w:val="24"/>
          <w:szCs w:val="24"/>
          <w:lang w:val="pt-BR"/>
        </w:rPr>
        <w:t>Código/s:</w:t>
      </w:r>
      <w:r w:rsidR="00931D97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705927" w:rsidRPr="00464B87">
        <w:rPr>
          <w:rFonts w:ascii="Arial" w:eastAsia="Arial" w:hAnsi="Arial" w:cs="Arial"/>
          <w:sz w:val="24"/>
          <w:szCs w:val="24"/>
          <w:lang w:val="pt-BR"/>
        </w:rPr>
        <w:t>5143</w:t>
      </w:r>
      <w:bookmarkStart w:id="2" w:name="h.1fob9te"/>
      <w:bookmarkEnd w:id="2"/>
    </w:p>
    <w:p w:rsidR="00336799" w:rsidRPr="00464B87" w:rsidRDefault="00336799" w:rsidP="00336799">
      <w:pPr>
        <w:jc w:val="center"/>
        <w:rPr>
          <w:rFonts w:ascii="Arial" w:hAnsi="Arial" w:cs="Arial"/>
          <w:b/>
          <w:sz w:val="24"/>
          <w:szCs w:val="24"/>
        </w:rPr>
      </w:pPr>
      <w:r w:rsidRPr="00464B87">
        <w:rPr>
          <w:rFonts w:ascii="Arial" w:hAnsi="Arial" w:cs="Arial"/>
          <w:b/>
          <w:sz w:val="24"/>
          <w:szCs w:val="24"/>
          <w:u w:val="single"/>
        </w:rPr>
        <w:t>UNIDAD  I</w:t>
      </w:r>
    </w:p>
    <w:p w:rsidR="00336799" w:rsidRPr="00464B87" w:rsidRDefault="00336799" w:rsidP="003367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4B87">
        <w:rPr>
          <w:rFonts w:ascii="Arial" w:hAnsi="Arial" w:cs="Arial"/>
          <w:b/>
          <w:sz w:val="24"/>
          <w:szCs w:val="24"/>
          <w:u w:val="single"/>
        </w:rPr>
        <w:t>INTRODUCCIÓN</w:t>
      </w:r>
    </w:p>
    <w:p w:rsidR="00931D97" w:rsidRDefault="00336799" w:rsidP="00336799">
      <w:pPr>
        <w:jc w:val="both"/>
        <w:rPr>
          <w:rFonts w:ascii="Arial" w:hAnsi="Arial" w:cs="Arial"/>
          <w:sz w:val="24"/>
          <w:szCs w:val="24"/>
        </w:rPr>
      </w:pPr>
      <w:r w:rsidRPr="00464B87">
        <w:rPr>
          <w:rFonts w:ascii="Arial" w:hAnsi="Arial" w:cs="Arial"/>
          <w:sz w:val="24"/>
          <w:szCs w:val="24"/>
        </w:rPr>
        <w:t>1.-</w:t>
      </w:r>
      <w:r w:rsidR="00931D97">
        <w:rPr>
          <w:rFonts w:ascii="Arial" w:hAnsi="Arial" w:cs="Arial"/>
          <w:sz w:val="24"/>
          <w:szCs w:val="24"/>
        </w:rPr>
        <w:t xml:space="preserve"> Poder Estatal de Regulación y Servicios Estatales. Diferencias. </w:t>
      </w:r>
      <w:r w:rsidRPr="00464B87">
        <w:rPr>
          <w:rFonts w:ascii="Arial" w:hAnsi="Arial" w:cs="Arial"/>
          <w:sz w:val="24"/>
          <w:szCs w:val="24"/>
        </w:rPr>
        <w:t xml:space="preserve"> </w:t>
      </w:r>
      <w:r w:rsidR="00931D97">
        <w:rPr>
          <w:rFonts w:ascii="Arial" w:hAnsi="Arial" w:cs="Arial"/>
          <w:sz w:val="24"/>
          <w:szCs w:val="24"/>
        </w:rPr>
        <w:t xml:space="preserve">Servicios Estatales: Funciones Estatales, Servicios sociales y servicios públicos. Fundamento de los servicios Públicos: Publicatio, Monopolio y Publics utilities. Su relatividad. </w:t>
      </w:r>
      <w:r w:rsidRPr="00464B87">
        <w:rPr>
          <w:rFonts w:ascii="Arial" w:hAnsi="Arial" w:cs="Arial"/>
          <w:sz w:val="24"/>
          <w:szCs w:val="24"/>
        </w:rPr>
        <w:t xml:space="preserve">os Servicios públicos en nuestro país. Antecedentes. Evolución y distintas etapas. Situación actual. </w:t>
      </w:r>
    </w:p>
    <w:p w:rsidR="00336799" w:rsidRPr="00464B87" w:rsidRDefault="00931D97" w:rsidP="0033679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4B87">
        <w:rPr>
          <w:rFonts w:ascii="Arial" w:hAnsi="Arial" w:cs="Arial"/>
          <w:sz w:val="24"/>
          <w:szCs w:val="24"/>
        </w:rPr>
        <w:t xml:space="preserve">2.- </w:t>
      </w:r>
      <w:r>
        <w:rPr>
          <w:rFonts w:ascii="Arial" w:hAnsi="Arial" w:cs="Arial"/>
          <w:sz w:val="24"/>
          <w:szCs w:val="24"/>
        </w:rPr>
        <w:t xml:space="preserve">Concepto de servicios públicos. </w:t>
      </w:r>
      <w:r w:rsidR="00204089">
        <w:rPr>
          <w:rFonts w:ascii="Arial" w:hAnsi="Arial" w:cs="Arial"/>
          <w:sz w:val="24"/>
          <w:szCs w:val="24"/>
        </w:rPr>
        <w:t xml:space="preserve">Elementos relevantes </w:t>
      </w:r>
      <w:r>
        <w:rPr>
          <w:rFonts w:ascii="Arial" w:hAnsi="Arial" w:cs="Arial"/>
          <w:sz w:val="24"/>
          <w:szCs w:val="24"/>
        </w:rPr>
        <w:t>Crisis. La base de reconstrucción</w:t>
      </w:r>
      <w:r w:rsidR="00204089">
        <w:rPr>
          <w:rFonts w:ascii="Arial" w:hAnsi="Arial" w:cs="Arial"/>
          <w:sz w:val="24"/>
          <w:szCs w:val="24"/>
        </w:rPr>
        <w:t xml:space="preserve"> en términos dogmaticos.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36799" w:rsidRPr="00464B87" w:rsidRDefault="00336799" w:rsidP="003367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4B87">
        <w:rPr>
          <w:rFonts w:ascii="Arial" w:hAnsi="Arial" w:cs="Arial"/>
          <w:b/>
          <w:sz w:val="24"/>
          <w:szCs w:val="24"/>
          <w:u w:val="single"/>
        </w:rPr>
        <w:t>UNIDAD II</w:t>
      </w:r>
    </w:p>
    <w:p w:rsidR="00336799" w:rsidRPr="00464B87" w:rsidRDefault="00336799" w:rsidP="003367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4B87">
        <w:rPr>
          <w:rFonts w:ascii="Arial" w:hAnsi="Arial" w:cs="Arial"/>
          <w:b/>
          <w:sz w:val="24"/>
          <w:szCs w:val="24"/>
          <w:u w:val="single"/>
        </w:rPr>
        <w:t>RÉGIMEN JURÍDICO: REGLAS DE FUNCIONAMIENTO</w:t>
      </w:r>
    </w:p>
    <w:p w:rsidR="00336799" w:rsidRPr="00464B87" w:rsidRDefault="00336799" w:rsidP="0033679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36799" w:rsidRPr="00464B87" w:rsidRDefault="00336799" w:rsidP="00336799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464B87">
        <w:rPr>
          <w:rFonts w:ascii="Arial" w:hAnsi="Arial" w:cs="Arial"/>
          <w:sz w:val="24"/>
          <w:szCs w:val="24"/>
        </w:rPr>
        <w:t xml:space="preserve">3.- Gestión de los servicios Públicos. Sistemas: Directa o indirecta. Mixta. </w:t>
      </w:r>
      <w:r w:rsidRPr="00464B87">
        <w:rPr>
          <w:rFonts w:ascii="Arial" w:hAnsi="Arial" w:cs="Arial"/>
          <w:sz w:val="24"/>
          <w:szCs w:val="24"/>
          <w:lang w:val="es-ES_tradnl"/>
        </w:rPr>
        <w:t xml:space="preserve">Desregulación. Privatización y </w:t>
      </w:r>
      <w:r w:rsidR="00CF32A0">
        <w:rPr>
          <w:rFonts w:ascii="Arial" w:hAnsi="Arial" w:cs="Arial"/>
          <w:sz w:val="24"/>
          <w:szCs w:val="24"/>
          <w:lang w:val="es-ES_tradnl"/>
        </w:rPr>
        <w:t>concesión de servicios públicos.-</w:t>
      </w:r>
    </w:p>
    <w:p w:rsidR="00336799" w:rsidRPr="00464B87" w:rsidRDefault="00336799" w:rsidP="00336799">
      <w:pPr>
        <w:jc w:val="both"/>
        <w:rPr>
          <w:rFonts w:ascii="Arial" w:hAnsi="Arial" w:cs="Arial"/>
          <w:sz w:val="24"/>
          <w:szCs w:val="24"/>
        </w:rPr>
      </w:pPr>
      <w:r w:rsidRPr="00464B87">
        <w:rPr>
          <w:rFonts w:ascii="Arial" w:hAnsi="Arial" w:cs="Arial"/>
          <w:sz w:val="24"/>
          <w:szCs w:val="24"/>
        </w:rPr>
        <w:t>4.- Competencia para la regulación de los servicios públicos: Bases Constitucionales: Constitución Nacional: Régimen de origen  y la reforma. Constitución Provincial. Régimen  Municipal. Competencias exclusivas y concurrentes. Competencias dudosas.</w:t>
      </w:r>
    </w:p>
    <w:p w:rsidR="00336799" w:rsidRPr="00464B87" w:rsidRDefault="00336799" w:rsidP="00336799">
      <w:pPr>
        <w:jc w:val="both"/>
        <w:rPr>
          <w:rFonts w:ascii="Arial" w:hAnsi="Arial" w:cs="Arial"/>
          <w:sz w:val="24"/>
          <w:szCs w:val="24"/>
        </w:rPr>
      </w:pPr>
    </w:p>
    <w:p w:rsidR="00336799" w:rsidRPr="00464B87" w:rsidRDefault="00336799" w:rsidP="00336799">
      <w:pPr>
        <w:jc w:val="both"/>
        <w:rPr>
          <w:rFonts w:ascii="Arial" w:hAnsi="Arial" w:cs="Arial"/>
          <w:sz w:val="24"/>
          <w:szCs w:val="24"/>
        </w:rPr>
      </w:pPr>
      <w:r w:rsidRPr="00464B87">
        <w:rPr>
          <w:rFonts w:ascii="Arial" w:hAnsi="Arial" w:cs="Arial"/>
          <w:sz w:val="24"/>
          <w:szCs w:val="24"/>
        </w:rPr>
        <w:t>5.- Principios generales de los servicios públicos: Continuidad:  Noción y alcance. La huelga en los servicios públicos. Régimen legal. Procedimientos. Autoridades de aplicación.</w:t>
      </w:r>
    </w:p>
    <w:p w:rsidR="00336799" w:rsidRPr="00464B87" w:rsidRDefault="00336799" w:rsidP="00336799">
      <w:pPr>
        <w:jc w:val="both"/>
        <w:rPr>
          <w:rFonts w:ascii="Arial" w:hAnsi="Arial" w:cs="Arial"/>
          <w:sz w:val="24"/>
          <w:szCs w:val="24"/>
        </w:rPr>
      </w:pPr>
      <w:r w:rsidRPr="00464B87">
        <w:rPr>
          <w:rFonts w:ascii="Arial" w:hAnsi="Arial" w:cs="Arial"/>
          <w:sz w:val="24"/>
          <w:szCs w:val="24"/>
        </w:rPr>
        <w:t>6.- Regularidad. Igualdad, Generalidad. Obligatoriedad. Noción y Alcance.</w:t>
      </w:r>
    </w:p>
    <w:p w:rsidR="00336799" w:rsidRPr="00464B87" w:rsidRDefault="00336799" w:rsidP="0033679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36799" w:rsidRPr="00464B87" w:rsidRDefault="00336799" w:rsidP="003367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4B87">
        <w:rPr>
          <w:rFonts w:ascii="Arial" w:hAnsi="Arial" w:cs="Arial"/>
          <w:b/>
          <w:sz w:val="24"/>
          <w:szCs w:val="24"/>
          <w:u w:val="single"/>
        </w:rPr>
        <w:t>UNIDAD III.</w:t>
      </w:r>
    </w:p>
    <w:p w:rsidR="00336799" w:rsidRPr="00464B87" w:rsidRDefault="00336799" w:rsidP="003367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4B87">
        <w:rPr>
          <w:rFonts w:ascii="Arial" w:hAnsi="Arial" w:cs="Arial"/>
          <w:b/>
          <w:sz w:val="24"/>
          <w:szCs w:val="24"/>
          <w:u w:val="single"/>
        </w:rPr>
        <w:t>RETRIBUCIÓN DE LOS SERVICIOS PÙBLICOS</w:t>
      </w:r>
    </w:p>
    <w:p w:rsidR="00336799" w:rsidRPr="00464B87" w:rsidRDefault="00336799" w:rsidP="00336799">
      <w:pPr>
        <w:jc w:val="center"/>
        <w:rPr>
          <w:rFonts w:ascii="Arial" w:hAnsi="Arial" w:cs="Arial"/>
          <w:sz w:val="24"/>
          <w:szCs w:val="24"/>
        </w:rPr>
      </w:pPr>
    </w:p>
    <w:p w:rsidR="00336799" w:rsidRPr="00464B87" w:rsidRDefault="00336799" w:rsidP="00336799">
      <w:pPr>
        <w:jc w:val="both"/>
        <w:rPr>
          <w:rFonts w:ascii="Arial" w:hAnsi="Arial" w:cs="Arial"/>
          <w:sz w:val="24"/>
          <w:szCs w:val="24"/>
        </w:rPr>
      </w:pPr>
      <w:r w:rsidRPr="00464B87">
        <w:rPr>
          <w:rFonts w:ascii="Arial" w:hAnsi="Arial" w:cs="Arial"/>
          <w:sz w:val="24"/>
          <w:szCs w:val="24"/>
        </w:rPr>
        <w:t xml:space="preserve">7.- El poder Tarifario del Estado. Evolución. Titularidad. </w:t>
      </w:r>
    </w:p>
    <w:p w:rsidR="00336799" w:rsidRPr="00464B87" w:rsidRDefault="00336799" w:rsidP="00336799">
      <w:pPr>
        <w:jc w:val="both"/>
        <w:rPr>
          <w:rFonts w:ascii="Arial" w:hAnsi="Arial" w:cs="Arial"/>
          <w:sz w:val="24"/>
          <w:szCs w:val="24"/>
        </w:rPr>
      </w:pPr>
      <w:r w:rsidRPr="00464B87">
        <w:rPr>
          <w:rFonts w:ascii="Arial" w:hAnsi="Arial" w:cs="Arial"/>
          <w:sz w:val="24"/>
          <w:szCs w:val="24"/>
        </w:rPr>
        <w:t xml:space="preserve">8.- Conceptos de Tarifa, Tasa y Precios. Naturaleza jurídica. Principios Generales que lo informan. Sistemas Tarifarios. La tasa de retorno y el “pricecap”.  Facultad regulatoria. Las tarifas y los denominados cargos tarifarios. Criterio jurisprudencial. La tarifas y la problemática de los subsidios. </w:t>
      </w:r>
    </w:p>
    <w:p w:rsidR="00336799" w:rsidRPr="00464B87" w:rsidRDefault="00336799" w:rsidP="00336799">
      <w:pPr>
        <w:jc w:val="both"/>
        <w:rPr>
          <w:rFonts w:ascii="Arial" w:hAnsi="Arial" w:cs="Arial"/>
          <w:sz w:val="24"/>
          <w:szCs w:val="24"/>
        </w:rPr>
      </w:pPr>
      <w:r w:rsidRPr="00464B87">
        <w:rPr>
          <w:rFonts w:ascii="Arial" w:hAnsi="Arial" w:cs="Arial"/>
          <w:sz w:val="24"/>
          <w:szCs w:val="24"/>
        </w:rPr>
        <w:t xml:space="preserve">9.- Control administrativo y judicial de las facultades Tarifarias. Limites. El concepto de tasa razonable según la jurisprudencia.  </w:t>
      </w:r>
    </w:p>
    <w:p w:rsidR="00336799" w:rsidRPr="00464B87" w:rsidRDefault="00336799" w:rsidP="003367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4B87">
        <w:rPr>
          <w:rFonts w:ascii="Arial" w:hAnsi="Arial" w:cs="Arial"/>
          <w:b/>
          <w:sz w:val="24"/>
          <w:szCs w:val="24"/>
          <w:u w:val="single"/>
        </w:rPr>
        <w:t>UNIDAD IV</w:t>
      </w:r>
    </w:p>
    <w:p w:rsidR="00336799" w:rsidRPr="00464B87" w:rsidRDefault="00336799" w:rsidP="003367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4B87">
        <w:rPr>
          <w:rFonts w:ascii="Arial" w:hAnsi="Arial" w:cs="Arial"/>
          <w:b/>
          <w:sz w:val="24"/>
          <w:szCs w:val="24"/>
          <w:u w:val="single"/>
        </w:rPr>
        <w:t>CONCESIÓN DE SERVICIOS PÚBLICOS</w:t>
      </w:r>
    </w:p>
    <w:p w:rsidR="00336799" w:rsidRPr="00464B87" w:rsidRDefault="00336799" w:rsidP="0033679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36799" w:rsidRPr="00464B87" w:rsidRDefault="00336799" w:rsidP="00336799">
      <w:pPr>
        <w:jc w:val="both"/>
        <w:rPr>
          <w:rFonts w:ascii="Arial" w:hAnsi="Arial" w:cs="Arial"/>
          <w:sz w:val="24"/>
          <w:szCs w:val="24"/>
        </w:rPr>
      </w:pPr>
      <w:r w:rsidRPr="00464B87">
        <w:rPr>
          <w:rFonts w:ascii="Arial" w:hAnsi="Arial" w:cs="Arial"/>
          <w:sz w:val="24"/>
          <w:szCs w:val="24"/>
        </w:rPr>
        <w:t xml:space="preserve">10.- Licencia, concesión, autorización, permiso y  habilitación. Concepto. Diferencia y consecuencias jurídicas. </w:t>
      </w:r>
    </w:p>
    <w:p w:rsidR="00336799" w:rsidRPr="00464B87" w:rsidRDefault="00336799" w:rsidP="00336799">
      <w:pPr>
        <w:jc w:val="both"/>
        <w:rPr>
          <w:rFonts w:ascii="Arial" w:hAnsi="Arial" w:cs="Arial"/>
          <w:sz w:val="24"/>
          <w:szCs w:val="24"/>
        </w:rPr>
      </w:pPr>
      <w:r w:rsidRPr="00464B87">
        <w:rPr>
          <w:rFonts w:ascii="Arial" w:hAnsi="Arial" w:cs="Arial"/>
          <w:sz w:val="24"/>
          <w:szCs w:val="24"/>
        </w:rPr>
        <w:t>11.- Concesión de servicios públicos: Contrato de Concesión de servicios públicos, de obra pública y de Concesión de obra publica. Caracteres. Elementos. Derechos y obligaciones del concedente y del concesionario. Ejecución del contrato: principios de interpretación. Atribuciones del concedente.</w:t>
      </w:r>
    </w:p>
    <w:p w:rsidR="00336799" w:rsidRPr="00464B87" w:rsidRDefault="00336799" w:rsidP="00336799">
      <w:pPr>
        <w:jc w:val="both"/>
        <w:rPr>
          <w:rFonts w:ascii="Arial" w:hAnsi="Arial" w:cs="Arial"/>
          <w:sz w:val="24"/>
          <w:szCs w:val="24"/>
        </w:rPr>
      </w:pPr>
      <w:r w:rsidRPr="00464B87">
        <w:rPr>
          <w:rFonts w:ascii="Arial" w:hAnsi="Arial" w:cs="Arial"/>
          <w:color w:val="000000"/>
          <w:sz w:val="24"/>
          <w:szCs w:val="24"/>
        </w:rPr>
        <w:t>Extinción del Contrato: distintos supuestos. Anulación, revocación y rescate.</w:t>
      </w:r>
    </w:p>
    <w:p w:rsidR="00336799" w:rsidRPr="00464B87" w:rsidRDefault="00336799" w:rsidP="003367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4B87">
        <w:rPr>
          <w:rFonts w:ascii="Arial" w:hAnsi="Arial" w:cs="Arial"/>
          <w:b/>
          <w:sz w:val="24"/>
          <w:szCs w:val="24"/>
          <w:u w:val="single"/>
        </w:rPr>
        <w:t>UNIDAD V</w:t>
      </w:r>
    </w:p>
    <w:p w:rsidR="00336799" w:rsidRPr="00464B87" w:rsidRDefault="00336799" w:rsidP="00E07F07">
      <w:pPr>
        <w:jc w:val="center"/>
        <w:rPr>
          <w:rFonts w:ascii="Arial" w:hAnsi="Arial" w:cs="Arial"/>
          <w:sz w:val="24"/>
          <w:szCs w:val="24"/>
        </w:rPr>
      </w:pPr>
      <w:r w:rsidRPr="00464B87">
        <w:rPr>
          <w:rFonts w:ascii="Arial" w:hAnsi="Arial" w:cs="Arial"/>
          <w:b/>
          <w:sz w:val="24"/>
          <w:szCs w:val="24"/>
          <w:u w:val="single"/>
        </w:rPr>
        <w:t>REGULACIÓN y CONTROL</w:t>
      </w:r>
    </w:p>
    <w:p w:rsidR="00336799" w:rsidRPr="00464B87" w:rsidRDefault="00336799" w:rsidP="00336799">
      <w:pPr>
        <w:jc w:val="both"/>
        <w:rPr>
          <w:rFonts w:ascii="Arial" w:hAnsi="Arial" w:cs="Arial"/>
          <w:sz w:val="24"/>
          <w:szCs w:val="24"/>
        </w:rPr>
      </w:pPr>
      <w:r w:rsidRPr="00464B87">
        <w:rPr>
          <w:rFonts w:ascii="Arial" w:hAnsi="Arial" w:cs="Arial"/>
          <w:sz w:val="24"/>
          <w:szCs w:val="24"/>
        </w:rPr>
        <w:lastRenderedPageBreak/>
        <w:t xml:space="preserve">12.- Evolución histórica del régimen de control de lo servicios públicos en la Republica Argentina. El Rol de los organismos de Control. Contenido material del control. Naturaleza jurídica del Control. </w:t>
      </w:r>
    </w:p>
    <w:p w:rsidR="00336799" w:rsidRPr="00464B87" w:rsidRDefault="00336799" w:rsidP="00336799">
      <w:pPr>
        <w:jc w:val="both"/>
        <w:rPr>
          <w:rFonts w:ascii="Arial" w:hAnsi="Arial" w:cs="Arial"/>
          <w:sz w:val="24"/>
          <w:szCs w:val="24"/>
        </w:rPr>
      </w:pPr>
      <w:r w:rsidRPr="00464B87">
        <w:rPr>
          <w:rFonts w:ascii="Arial" w:hAnsi="Arial" w:cs="Arial"/>
          <w:sz w:val="24"/>
          <w:szCs w:val="24"/>
        </w:rPr>
        <w:t>Aspectos esenciales de los Organismos de Control: Independencia. Especialidad. Carácter Participativo.</w:t>
      </w:r>
    </w:p>
    <w:p w:rsidR="00336799" w:rsidRPr="00464B87" w:rsidRDefault="00336799" w:rsidP="00336799">
      <w:pPr>
        <w:jc w:val="both"/>
        <w:rPr>
          <w:rFonts w:ascii="Arial" w:hAnsi="Arial" w:cs="Arial"/>
          <w:sz w:val="24"/>
          <w:szCs w:val="24"/>
        </w:rPr>
      </w:pPr>
      <w:r w:rsidRPr="00464B87">
        <w:rPr>
          <w:rFonts w:ascii="Arial" w:hAnsi="Arial" w:cs="Arial"/>
          <w:sz w:val="24"/>
          <w:szCs w:val="24"/>
        </w:rPr>
        <w:t xml:space="preserve">13.- Entes Reguladores de servicios públicos. Tratamiento constitucional: </w:t>
      </w:r>
      <w:r w:rsidRPr="00464B87">
        <w:rPr>
          <w:rFonts w:ascii="Arial" w:hAnsi="Arial" w:cs="Arial"/>
          <w:color w:val="000000"/>
          <w:sz w:val="24"/>
          <w:szCs w:val="24"/>
        </w:rPr>
        <w:t>Alcance y sentido del artículo 42 de la Constitución Nacional</w:t>
      </w:r>
      <w:r w:rsidRPr="00464B87">
        <w:rPr>
          <w:rFonts w:ascii="Arial" w:hAnsi="Arial" w:cs="Arial"/>
          <w:sz w:val="24"/>
          <w:szCs w:val="24"/>
        </w:rPr>
        <w:t>. N</w:t>
      </w:r>
      <w:r w:rsidR="0001796B">
        <w:rPr>
          <w:rFonts w:ascii="Arial" w:hAnsi="Arial" w:cs="Arial"/>
          <w:sz w:val="24"/>
          <w:szCs w:val="24"/>
        </w:rPr>
        <w:t>e</w:t>
      </w:r>
      <w:r w:rsidRPr="00464B87">
        <w:rPr>
          <w:rFonts w:ascii="Arial" w:hAnsi="Arial" w:cs="Arial"/>
          <w:sz w:val="24"/>
          <w:szCs w:val="24"/>
        </w:rPr>
        <w:t>cesidad del Control público Clases y alcance.</w:t>
      </w:r>
    </w:p>
    <w:p w:rsidR="00336799" w:rsidRPr="00464B87" w:rsidRDefault="00336799" w:rsidP="00336799">
      <w:pPr>
        <w:jc w:val="both"/>
        <w:rPr>
          <w:rFonts w:ascii="Arial" w:hAnsi="Arial" w:cs="Arial"/>
          <w:sz w:val="24"/>
          <w:szCs w:val="24"/>
        </w:rPr>
      </w:pPr>
      <w:r w:rsidRPr="00464B87">
        <w:rPr>
          <w:rFonts w:ascii="Arial" w:hAnsi="Arial" w:cs="Arial"/>
          <w:color w:val="000000"/>
          <w:sz w:val="24"/>
          <w:szCs w:val="24"/>
        </w:rPr>
        <w:t xml:space="preserve">14.- </w:t>
      </w:r>
      <w:r w:rsidRPr="00464B87">
        <w:rPr>
          <w:rFonts w:ascii="Arial" w:hAnsi="Arial" w:cs="Arial"/>
          <w:sz w:val="24"/>
          <w:szCs w:val="24"/>
        </w:rPr>
        <w:t>Actividad de los Entes Reguladores. Creación. Funciones. El acto administrativo regulatorio.  Marco Regulatorio: consideraciones Generales.</w:t>
      </w:r>
      <w:r w:rsidRPr="00464B87">
        <w:rPr>
          <w:rFonts w:ascii="Arial" w:hAnsi="Arial" w:cs="Arial"/>
          <w:color w:val="000000"/>
          <w:sz w:val="24"/>
          <w:szCs w:val="24"/>
        </w:rPr>
        <w:t xml:space="preserve"> Jurisdicción previa y obligatoria de los entes reguladores. </w:t>
      </w:r>
      <w:r w:rsidRPr="00464B87">
        <w:rPr>
          <w:rFonts w:ascii="Arial" w:hAnsi="Arial" w:cs="Arial"/>
          <w:color w:val="000000"/>
          <w:sz w:val="24"/>
          <w:szCs w:val="24"/>
        </w:rPr>
        <w:br/>
        <w:t>Medios alternativos de solución de controversias.</w:t>
      </w:r>
    </w:p>
    <w:p w:rsidR="00336799" w:rsidRPr="00464B87" w:rsidRDefault="00336799" w:rsidP="003367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4B87">
        <w:rPr>
          <w:rFonts w:ascii="Arial" w:hAnsi="Arial" w:cs="Arial"/>
          <w:b/>
          <w:sz w:val="24"/>
          <w:szCs w:val="24"/>
          <w:u w:val="single"/>
        </w:rPr>
        <w:t>UNIDAD VI</w:t>
      </w:r>
    </w:p>
    <w:p w:rsidR="00336799" w:rsidRPr="00464B87" w:rsidRDefault="00336799" w:rsidP="003367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4B87">
        <w:rPr>
          <w:rFonts w:ascii="Arial" w:hAnsi="Arial" w:cs="Arial"/>
          <w:b/>
          <w:sz w:val="24"/>
          <w:szCs w:val="24"/>
          <w:u w:val="single"/>
        </w:rPr>
        <w:t>LA SITUACION JURÍDICA DE LOS USUARIOS DE SERVICIOS PÚBLICOS.</w:t>
      </w:r>
    </w:p>
    <w:p w:rsidR="00336799" w:rsidRPr="00464B87" w:rsidRDefault="00336799" w:rsidP="00336799">
      <w:pPr>
        <w:jc w:val="both"/>
        <w:rPr>
          <w:rFonts w:ascii="Arial" w:hAnsi="Arial" w:cs="Arial"/>
          <w:sz w:val="24"/>
          <w:szCs w:val="24"/>
        </w:rPr>
      </w:pPr>
      <w:r w:rsidRPr="00464B87">
        <w:rPr>
          <w:rFonts w:ascii="Arial" w:hAnsi="Arial" w:cs="Arial"/>
          <w:sz w:val="24"/>
          <w:szCs w:val="24"/>
        </w:rPr>
        <w:t xml:space="preserve">15.- La Defensa de los Consumidores y usuarios. Servicios Públicos Domiciliarios. Régimen legal. Ámbito de aplicación. </w:t>
      </w:r>
    </w:p>
    <w:p w:rsidR="00336799" w:rsidRPr="00464B87" w:rsidRDefault="00336799" w:rsidP="00336799">
      <w:pPr>
        <w:jc w:val="both"/>
        <w:rPr>
          <w:rFonts w:ascii="Arial" w:hAnsi="Arial" w:cs="Arial"/>
          <w:sz w:val="24"/>
          <w:szCs w:val="24"/>
        </w:rPr>
      </w:pPr>
      <w:r w:rsidRPr="00464B87">
        <w:rPr>
          <w:rFonts w:ascii="Arial" w:hAnsi="Arial" w:cs="Arial"/>
          <w:sz w:val="24"/>
          <w:szCs w:val="24"/>
        </w:rPr>
        <w:t xml:space="preserve">Principios tuitivos.: Información al usuario. Sistema de reclamos. Interrupción de servicios. El pago y la facturación. </w:t>
      </w:r>
    </w:p>
    <w:p w:rsidR="00336799" w:rsidRPr="00464B87" w:rsidRDefault="00336799" w:rsidP="003367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4B87">
        <w:rPr>
          <w:rFonts w:ascii="Arial" w:hAnsi="Arial" w:cs="Arial"/>
          <w:b/>
          <w:sz w:val="24"/>
          <w:szCs w:val="24"/>
          <w:u w:val="single"/>
        </w:rPr>
        <w:t>UNIDAD VII</w:t>
      </w:r>
    </w:p>
    <w:p w:rsidR="00336799" w:rsidRPr="00464B87" w:rsidRDefault="00336799" w:rsidP="003367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4B87">
        <w:rPr>
          <w:rFonts w:ascii="Arial" w:hAnsi="Arial" w:cs="Arial"/>
          <w:b/>
          <w:sz w:val="24"/>
          <w:szCs w:val="24"/>
          <w:u w:val="single"/>
        </w:rPr>
        <w:t>RESPONSABILIDAD DEL ESTADO, LOS CONCESIONARIOS Y ENTES REGULADORES DE LOS SERVICIOS PÚBLICOS</w:t>
      </w:r>
    </w:p>
    <w:p w:rsidR="00336799" w:rsidRPr="00464B87" w:rsidRDefault="00336799" w:rsidP="00336799">
      <w:pPr>
        <w:jc w:val="both"/>
        <w:rPr>
          <w:rFonts w:ascii="Arial" w:hAnsi="Arial" w:cs="Arial"/>
          <w:sz w:val="24"/>
          <w:szCs w:val="24"/>
        </w:rPr>
      </w:pPr>
      <w:r w:rsidRPr="00464B87">
        <w:rPr>
          <w:rFonts w:ascii="Arial" w:hAnsi="Arial" w:cs="Arial"/>
          <w:sz w:val="24"/>
          <w:szCs w:val="24"/>
        </w:rPr>
        <w:t xml:space="preserve">16.- Responsabilidad del Estado: Clases. Responsabilidad de los Concesionarios y Licenciatarios de servicios públicos frente  a los usuarios. La ley 26.944 de “Responsabilidad del Estado”: aspectos generales, análisis crítico. Avances y retrocesos en la materia. La responsabilidad del Estado por los perjuicios ocasionados por los concesionarios y/o contratistas de servicios públicos. </w:t>
      </w:r>
    </w:p>
    <w:p w:rsidR="00336799" w:rsidRPr="00464B87" w:rsidRDefault="00336799" w:rsidP="00336799">
      <w:pPr>
        <w:jc w:val="both"/>
        <w:rPr>
          <w:rFonts w:ascii="Arial" w:hAnsi="Arial" w:cs="Arial"/>
          <w:sz w:val="24"/>
          <w:szCs w:val="24"/>
        </w:rPr>
      </w:pPr>
      <w:r w:rsidRPr="00464B87">
        <w:rPr>
          <w:rFonts w:ascii="Arial" w:hAnsi="Arial" w:cs="Arial"/>
          <w:sz w:val="24"/>
          <w:szCs w:val="24"/>
        </w:rPr>
        <w:t xml:space="preserve">17.- Responsabilidad de los Entes Reguladores: Aplicación de los Principios Generales. Las Previsiones de los marcos Regulatorios. Presupuestos.    </w:t>
      </w:r>
    </w:p>
    <w:p w:rsidR="00336799" w:rsidRPr="00464B87" w:rsidRDefault="00336799" w:rsidP="00336799">
      <w:pPr>
        <w:jc w:val="both"/>
        <w:rPr>
          <w:rFonts w:ascii="Arial" w:hAnsi="Arial" w:cs="Arial"/>
          <w:sz w:val="24"/>
          <w:szCs w:val="24"/>
        </w:rPr>
      </w:pPr>
      <w:r w:rsidRPr="00464B87">
        <w:rPr>
          <w:rFonts w:ascii="Arial" w:hAnsi="Arial" w:cs="Arial"/>
          <w:sz w:val="24"/>
          <w:szCs w:val="24"/>
        </w:rPr>
        <w:t>18.- Responsabilidad del Estado por el error o la omisión en el control ejercido por los entes reguladores y por el obrar de las empresas prestatarias de servicios públicos. Alcance de la reparación.</w:t>
      </w:r>
    </w:p>
    <w:p w:rsidR="00336799" w:rsidRPr="00464B87" w:rsidRDefault="00336799" w:rsidP="0033679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36799" w:rsidRPr="00464B87" w:rsidRDefault="00336799" w:rsidP="003367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4B87">
        <w:rPr>
          <w:rFonts w:ascii="Arial" w:hAnsi="Arial" w:cs="Arial"/>
          <w:b/>
          <w:sz w:val="24"/>
          <w:szCs w:val="24"/>
          <w:u w:val="single"/>
        </w:rPr>
        <w:t>UNIDAD VIII</w:t>
      </w:r>
    </w:p>
    <w:p w:rsidR="00336799" w:rsidRPr="00464B87" w:rsidRDefault="00336799" w:rsidP="003367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4B87">
        <w:rPr>
          <w:rFonts w:ascii="Arial" w:hAnsi="Arial" w:cs="Arial"/>
          <w:b/>
          <w:sz w:val="24"/>
          <w:szCs w:val="24"/>
          <w:u w:val="single"/>
        </w:rPr>
        <w:t>LOS SERVICIOS PÚBLICOS Y EL MUNICIPIO.</w:t>
      </w:r>
    </w:p>
    <w:p w:rsidR="00812F58" w:rsidRDefault="00336799" w:rsidP="0033679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64B87">
        <w:rPr>
          <w:rFonts w:ascii="Arial" w:hAnsi="Arial" w:cs="Arial"/>
          <w:sz w:val="24"/>
          <w:szCs w:val="24"/>
        </w:rPr>
        <w:t xml:space="preserve">20.- Servicios Públicos Municipales. El Régimen en la Provincia de Córdoba. La Ley Orgánica Municipal. Cartas orgánicas Municipales. </w:t>
      </w:r>
      <w:r w:rsidR="004210D5">
        <w:rPr>
          <w:rFonts w:ascii="Arial" w:hAnsi="Arial" w:cs="Arial"/>
          <w:sz w:val="24"/>
          <w:szCs w:val="24"/>
        </w:rPr>
        <w:t>Aspectos Normativos salientes: Competencia territorial, órgano competente para su creación. Modalidad. Régimen especial de Municipalización. Rescate. Demás aspectos.</w:t>
      </w:r>
    </w:p>
    <w:p w:rsidR="00336799" w:rsidRPr="00464B87" w:rsidRDefault="00336799" w:rsidP="0033679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64B87">
        <w:rPr>
          <w:rFonts w:ascii="Arial" w:hAnsi="Arial" w:cs="Arial"/>
          <w:sz w:val="24"/>
          <w:szCs w:val="24"/>
        </w:rPr>
        <w:t xml:space="preserve">21.-. </w:t>
      </w:r>
      <w:r w:rsidR="00812F58">
        <w:rPr>
          <w:rFonts w:ascii="Arial" w:hAnsi="Arial" w:cs="Arial"/>
          <w:sz w:val="24"/>
          <w:szCs w:val="24"/>
        </w:rPr>
        <w:t>Particularidad d</w:t>
      </w:r>
      <w:r w:rsidR="0091301C">
        <w:rPr>
          <w:rFonts w:ascii="Arial" w:hAnsi="Arial" w:cs="Arial"/>
          <w:sz w:val="24"/>
          <w:szCs w:val="24"/>
        </w:rPr>
        <w:t>e</w:t>
      </w:r>
      <w:r w:rsidR="00812F58">
        <w:rPr>
          <w:rFonts w:ascii="Arial" w:hAnsi="Arial" w:cs="Arial"/>
          <w:sz w:val="24"/>
          <w:szCs w:val="24"/>
        </w:rPr>
        <w:t xml:space="preserve"> los servicios públicos Municipales y Sub Municipales. L</w:t>
      </w:r>
      <w:r w:rsidR="004210D5">
        <w:rPr>
          <w:rFonts w:ascii="Arial" w:hAnsi="Arial" w:cs="Arial"/>
          <w:sz w:val="24"/>
          <w:szCs w:val="24"/>
        </w:rPr>
        <w:t xml:space="preserve">a </w:t>
      </w:r>
      <w:r w:rsidR="00812F58">
        <w:rPr>
          <w:rFonts w:ascii="Arial" w:hAnsi="Arial" w:cs="Arial"/>
          <w:sz w:val="24"/>
          <w:szCs w:val="24"/>
        </w:rPr>
        <w:t>municipalización de la transformación del Estado. Alcance de los Servicios Públicos Municipales.-</w:t>
      </w:r>
    </w:p>
    <w:p w:rsidR="00DA3829" w:rsidRDefault="00336799" w:rsidP="00E07F0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64B87">
        <w:rPr>
          <w:rFonts w:ascii="Arial" w:hAnsi="Arial" w:cs="Arial"/>
          <w:sz w:val="24"/>
          <w:szCs w:val="24"/>
        </w:rPr>
        <w:t xml:space="preserve">22.- </w:t>
      </w:r>
      <w:r w:rsidR="00812F58">
        <w:rPr>
          <w:rFonts w:ascii="Arial" w:hAnsi="Arial" w:cs="Arial"/>
          <w:sz w:val="24"/>
          <w:szCs w:val="24"/>
        </w:rPr>
        <w:t xml:space="preserve"> Modos de prestación. Control económico Financiero y administrativo. Retribución</w:t>
      </w:r>
      <w:r w:rsidR="004210D5">
        <w:rPr>
          <w:rFonts w:ascii="Arial" w:hAnsi="Arial" w:cs="Arial"/>
          <w:sz w:val="24"/>
          <w:szCs w:val="24"/>
        </w:rPr>
        <w:t>.-</w:t>
      </w:r>
    </w:p>
    <w:p w:rsidR="00CF2C65" w:rsidRPr="00B20884" w:rsidRDefault="00CF2C65" w:rsidP="00DA3829">
      <w:pPr>
        <w:spacing w:before="100" w:beforeAutospacing="1" w:after="100" w:afterAutospacing="1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B20884">
        <w:rPr>
          <w:rFonts w:ascii="Arial" w:eastAsia="Arial" w:hAnsi="Arial" w:cs="Arial"/>
          <w:b/>
          <w:sz w:val="24"/>
          <w:szCs w:val="24"/>
          <w:u w:val="single"/>
        </w:rPr>
        <w:t>UNIDAD IX</w:t>
      </w:r>
    </w:p>
    <w:p w:rsidR="00CF2C65" w:rsidRPr="00B20884" w:rsidRDefault="00CF2C65" w:rsidP="00CF2C65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B20884">
        <w:rPr>
          <w:rFonts w:ascii="Arial" w:eastAsia="Arial" w:hAnsi="Arial" w:cs="Arial"/>
          <w:b/>
          <w:sz w:val="24"/>
          <w:szCs w:val="24"/>
          <w:u w:val="single"/>
        </w:rPr>
        <w:t xml:space="preserve">LAS TICS EN LA ADMINISTRACIÓN PÚBLICA </w:t>
      </w:r>
    </w:p>
    <w:p w:rsidR="001D0E28" w:rsidRDefault="001D0E28" w:rsidP="004E5A7E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Cs/>
          <w:sz w:val="24"/>
          <w:szCs w:val="24"/>
        </w:rPr>
        <w:t>23</w:t>
      </w:r>
      <w:r w:rsidR="00CF2C65" w:rsidRPr="001D0E28">
        <w:rPr>
          <w:rFonts w:ascii="Arial" w:eastAsia="Arial" w:hAnsi="Arial" w:cs="Arial"/>
          <w:bCs/>
          <w:sz w:val="24"/>
          <w:szCs w:val="24"/>
        </w:rPr>
        <w:t xml:space="preserve">- </w:t>
      </w:r>
      <w:r w:rsidR="004E5A7E" w:rsidRPr="001D0E28">
        <w:rPr>
          <w:rFonts w:ascii="Arial" w:hAnsi="Arial" w:cs="Arial"/>
          <w:sz w:val="24"/>
          <w:szCs w:val="24"/>
          <w:lang w:val="es-MX"/>
        </w:rPr>
        <w:t xml:space="preserve">Políticas en materia de transformación, modernización y simplificación administrativa </w:t>
      </w:r>
      <w:r w:rsidR="004E5A7E" w:rsidRPr="001D0E28">
        <w:rPr>
          <w:rFonts w:ascii="Arial" w:hAnsi="Arial" w:cs="Arial"/>
          <w:sz w:val="24"/>
          <w:szCs w:val="24"/>
        </w:rPr>
        <w:t>El gobierno digital (y abierto). Ciudades digitales.</w:t>
      </w:r>
      <w:r w:rsidR="004E5A7E" w:rsidRPr="001D0E28">
        <w:rPr>
          <w:rFonts w:ascii="Arial" w:hAnsi="Arial" w:cs="Arial"/>
          <w:sz w:val="24"/>
          <w:szCs w:val="24"/>
          <w:lang w:val="es-MX"/>
        </w:rPr>
        <w:t xml:space="preserve"> L</w:t>
      </w:r>
      <w:r w:rsidR="004E5A7E" w:rsidRPr="001D0E28">
        <w:rPr>
          <w:rFonts w:ascii="Arial" w:hAnsi="Arial" w:cs="Arial"/>
          <w:sz w:val="24"/>
          <w:szCs w:val="24"/>
        </w:rPr>
        <w:t>a mejora continua de procesos y las tics.</w:t>
      </w:r>
      <w:r w:rsidR="004E5A7E" w:rsidRPr="001D0E28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4E5A7E" w:rsidRPr="001D0E28" w:rsidRDefault="001D0E28" w:rsidP="004E5A7E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24.- </w:t>
      </w:r>
      <w:r w:rsidR="004E5A7E" w:rsidRPr="001D0E28">
        <w:rPr>
          <w:rFonts w:ascii="Arial" w:hAnsi="Arial" w:cs="Arial"/>
          <w:sz w:val="24"/>
          <w:szCs w:val="24"/>
          <w:lang w:val="es-MX"/>
        </w:rPr>
        <w:t>El gobierno “electrónico” según el CLAD</w:t>
      </w:r>
      <w:r w:rsidR="004E5A7E" w:rsidRPr="001D0E28">
        <w:rPr>
          <w:rFonts w:ascii="Arial" w:hAnsi="Arial" w:cs="Arial"/>
          <w:sz w:val="24"/>
          <w:szCs w:val="24"/>
        </w:rPr>
        <w:t>.</w:t>
      </w:r>
      <w:r w:rsidR="004E5A7E" w:rsidRPr="001D0E28">
        <w:rPr>
          <w:rFonts w:ascii="Arial" w:hAnsi="Arial" w:cs="Arial"/>
          <w:sz w:val="24"/>
          <w:szCs w:val="24"/>
          <w:lang w:val="es-MX"/>
        </w:rPr>
        <w:t xml:space="preserve"> Los derechos del ciudadano digital Las TICs en las “categorias” del Derecho Administrativo a) El acto administrativo electrónico b) Las notificaciones administrativas electrónicas  c) Procedimiento administrativo y nuevas tecnologías d) Organización administrativa y “gobierno electrónico” e) Tecnologías en el empleo público e) La contratación administrativa electrónica e informática</w:t>
      </w:r>
      <w:r w:rsidR="004E5A7E" w:rsidRPr="001D0E28">
        <w:rPr>
          <w:rFonts w:ascii="Arial" w:hAnsi="Arial" w:cs="Arial"/>
          <w:sz w:val="24"/>
          <w:szCs w:val="24"/>
        </w:rPr>
        <w:t>.</w:t>
      </w:r>
    </w:p>
    <w:p w:rsidR="004E5A7E" w:rsidRPr="00E07F07" w:rsidRDefault="004E5A7E" w:rsidP="004E5A7E">
      <w:pPr>
        <w:jc w:val="both"/>
        <w:rPr>
          <w:rFonts w:ascii="Arial" w:hAnsi="Arial" w:cs="Arial"/>
          <w:sz w:val="24"/>
          <w:szCs w:val="24"/>
        </w:rPr>
      </w:pPr>
      <w:r w:rsidRPr="00E07F07">
        <w:rPr>
          <w:rFonts w:ascii="Arial" w:hAnsi="Arial" w:cs="Arial"/>
          <w:sz w:val="24"/>
          <w:szCs w:val="24"/>
          <w:lang w:val="es-MX"/>
        </w:rPr>
        <w:t>Nuevos horizontes del derecho administrativo</w:t>
      </w:r>
      <w:r w:rsidRPr="00E07F07">
        <w:rPr>
          <w:rFonts w:ascii="Arial" w:hAnsi="Arial" w:cs="Arial"/>
          <w:sz w:val="24"/>
          <w:szCs w:val="24"/>
        </w:rPr>
        <w:t xml:space="preserve">. </w:t>
      </w:r>
      <w:r w:rsidRPr="00E07F07">
        <w:rPr>
          <w:rFonts w:ascii="Arial" w:hAnsi="Arial" w:cs="Arial"/>
          <w:sz w:val="24"/>
          <w:szCs w:val="24"/>
          <w:lang w:val="es-MX"/>
        </w:rPr>
        <w:t>El impacto de las nuevas tecnologías sobre el Derecho Administrativo</w:t>
      </w:r>
      <w:r w:rsidRPr="00E07F07">
        <w:rPr>
          <w:rFonts w:ascii="Arial" w:hAnsi="Arial" w:cs="Arial"/>
          <w:sz w:val="24"/>
          <w:szCs w:val="24"/>
        </w:rPr>
        <w:t xml:space="preserve">.Inteligencia Artificial y Automatización de la Administración </w:t>
      </w:r>
    </w:p>
    <w:sectPr w:rsidR="004E5A7E" w:rsidRPr="00E07F07" w:rsidSect="00A4486E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cols w:space="720"/>
      <w:docGrid w:linePitch="24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7AE" w:rsidRDefault="003D77AE">
      <w:pPr>
        <w:spacing w:after="0" w:line="240" w:lineRule="auto"/>
      </w:pPr>
      <w:r>
        <w:separator/>
      </w:r>
    </w:p>
  </w:endnote>
  <w:endnote w:type="continuationSeparator" w:id="1">
    <w:p w:rsidR="003D77AE" w:rsidRDefault="003D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99311"/>
      <w:docPartObj>
        <w:docPartGallery w:val="Page Numbers (Bottom of Page)"/>
        <w:docPartUnique/>
      </w:docPartObj>
    </w:sdtPr>
    <w:sdtContent>
      <w:p w:rsidR="00664C90" w:rsidRDefault="0039653C">
        <w:pPr>
          <w:pStyle w:val="Piedepgina"/>
          <w:jc w:val="center"/>
        </w:pPr>
        <w:fldSimple w:instr=" PAGE   \* MERGEFORMAT ">
          <w:r w:rsidR="00430BC6">
            <w:rPr>
              <w:noProof/>
            </w:rPr>
            <w:t>1</w:t>
          </w:r>
        </w:fldSimple>
      </w:p>
    </w:sdtContent>
  </w:sdt>
  <w:p w:rsidR="007D4429" w:rsidRDefault="007D4429">
    <w:pPr>
      <w:tabs>
        <w:tab w:val="center" w:pos="4252"/>
        <w:tab w:val="right" w:pos="8504"/>
      </w:tabs>
      <w:spacing w:after="0" w:line="10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7AE" w:rsidRDefault="003D77AE">
      <w:pPr>
        <w:spacing w:after="0" w:line="240" w:lineRule="auto"/>
      </w:pPr>
      <w:r>
        <w:separator/>
      </w:r>
    </w:p>
  </w:footnote>
  <w:footnote w:type="continuationSeparator" w:id="1">
    <w:p w:rsidR="003D77AE" w:rsidRDefault="003D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29" w:rsidRDefault="00622273" w:rsidP="00063114">
    <w:pPr>
      <w:pStyle w:val="Encabezado"/>
      <w:pBdr>
        <w:bottom w:val="single" w:sz="12" w:space="1" w:color="auto"/>
      </w:pBdr>
      <w:tabs>
        <w:tab w:val="left" w:pos="6663"/>
      </w:tabs>
      <w:spacing w:before="100" w:beforeAutospacing="1" w:after="100" w:afterAutospacing="1" w:line="360" w:lineRule="auto"/>
      <w:ind w:firstLine="284"/>
    </w:pPr>
    <w:r w:rsidRPr="00850EFD">
      <w:rPr>
        <w:noProof/>
        <w:lang w:val="es-ES" w:eastAsia="es-ES"/>
      </w:rPr>
      <w:drawing>
        <wp:inline distT="0" distB="0" distL="0" distR="0">
          <wp:extent cx="577215" cy="801370"/>
          <wp:effectExtent l="0" t="0" r="0" b="0"/>
          <wp:docPr id="5" name="Imagen 1" descr="Descripción: Escudo Universidad Nacional de Río Cuart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scudo Universidad Nacional de Río Cuart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429">
      <w:rPr>
        <w:noProof/>
      </w:rPr>
      <w:tab/>
    </w:r>
    <w:r w:rsidR="007D4429">
      <w:rPr>
        <w:noProof/>
      </w:rPr>
      <w:tab/>
    </w:r>
    <w:r w:rsidRPr="00850EFD">
      <w:rPr>
        <w:noProof/>
        <w:lang w:val="es-ES" w:eastAsia="es-ES"/>
      </w:rPr>
      <w:drawing>
        <wp:inline distT="0" distB="0" distL="0" distR="0">
          <wp:extent cx="1136650" cy="838200"/>
          <wp:effectExtent l="0" t="0" r="0" b="0"/>
          <wp:docPr id="4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42624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5"/>
    <w:lvl w:ilvl="0">
      <w:start w:val="4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Arial" w:cs="Arial"/>
        <w:i w:val="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firstLine="0"/>
      </w:pPr>
      <w:rPr>
        <w:rFonts w:eastAsia="Arial" w:cs="Arial"/>
        <w:i w:val="0"/>
        <w:position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0"/>
      </w:pPr>
      <w:rPr>
        <w:rFonts w:eastAsia="Arial" w:cs="Arial"/>
        <w:i w:val="0"/>
        <w:position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0"/>
      </w:pPr>
      <w:rPr>
        <w:rFonts w:eastAsia="Arial" w:cs="Arial"/>
        <w:i w:val="0"/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0"/>
      </w:pPr>
      <w:rPr>
        <w:rFonts w:eastAsia="Arial" w:cs="Arial"/>
        <w:i w:val="0"/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0"/>
      </w:pPr>
      <w:rPr>
        <w:rFonts w:eastAsia="Arial" w:cs="Arial"/>
        <w:i w:val="0"/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0"/>
      </w:pPr>
      <w:rPr>
        <w:rFonts w:eastAsia="Arial" w:cs="Arial"/>
        <w:i w:val="0"/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0"/>
      </w:pPr>
      <w:rPr>
        <w:rFonts w:eastAsia="Arial" w:cs="Arial"/>
        <w:i w:val="0"/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firstLine="0"/>
      </w:pPr>
      <w:rPr>
        <w:rFonts w:eastAsia="Arial" w:cs="Arial"/>
        <w:i w:val="0"/>
        <w:position w:val="0"/>
        <w:sz w:val="22"/>
        <w:vertAlign w:val="baseline"/>
      </w:rPr>
    </w:lvl>
  </w:abstractNum>
  <w:abstractNum w:abstractNumId="6">
    <w:nsid w:val="00000007"/>
    <w:multiLevelType w:val="multilevel"/>
    <w:tmpl w:val="00000007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rFonts w:eastAsia="Arial" w:cs="Arial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eastAsia="Arial" w:cs="Arial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eastAsia="Arial" w:cs="Arial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eastAsia="Arial" w:cs="Arial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eastAsia="Arial" w:cs="Arial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eastAsia="Arial" w:cs="Arial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eastAsia="Arial" w:cs="Arial"/>
        <w:position w:val="0"/>
        <w:sz w:val="22"/>
        <w:vertAlign w:val="baseline"/>
      </w:rPr>
    </w:lvl>
  </w:abstractNum>
  <w:abstractNum w:abstractNumId="7">
    <w:nsid w:val="00000008"/>
    <w:multiLevelType w:val="multilevel"/>
    <w:tmpl w:val="00000008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770" w:firstLine="41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firstLine="113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10" w:firstLine="185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930" w:firstLine="257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firstLine="329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70" w:firstLine="401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90" w:firstLine="473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firstLine="545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30" w:firstLine="6170"/>
      </w:pPr>
      <w:rPr>
        <w:rFonts w:ascii="Arial" w:hAnsi="Arial" w:cs="Arial"/>
        <w:position w:val="0"/>
        <w:sz w:val="22"/>
        <w:vertAlign w:val="baseline"/>
      </w:rPr>
    </w:lvl>
  </w:abstractNum>
  <w:abstractNum w:abstractNumId="8">
    <w:nsid w:val="00000009"/>
    <w:multiLevelType w:val="multilevel"/>
    <w:tmpl w:val="00000009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0">
    <w:nsid w:val="249D55BB"/>
    <w:multiLevelType w:val="hybridMultilevel"/>
    <w:tmpl w:val="3AC2991C"/>
    <w:lvl w:ilvl="0" w:tplc="2ED6576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D9F028F"/>
    <w:multiLevelType w:val="hybridMultilevel"/>
    <w:tmpl w:val="7664395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pt-BR" w:vendorID="64" w:dllVersion="6" w:nlCheck="1" w:checkStyle="0"/>
  <w:activeWritingStyle w:appName="MSWord" w:lang="es-AR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AR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749A8"/>
    <w:rsid w:val="00013E24"/>
    <w:rsid w:val="0001796B"/>
    <w:rsid w:val="00026CE3"/>
    <w:rsid w:val="00040667"/>
    <w:rsid w:val="00063114"/>
    <w:rsid w:val="00075428"/>
    <w:rsid w:val="0009669F"/>
    <w:rsid w:val="000B2463"/>
    <w:rsid w:val="000C1822"/>
    <w:rsid w:val="000D012D"/>
    <w:rsid w:val="000D181C"/>
    <w:rsid w:val="000D4B10"/>
    <w:rsid w:val="000F0D79"/>
    <w:rsid w:val="00113AB9"/>
    <w:rsid w:val="00116477"/>
    <w:rsid w:val="0016307F"/>
    <w:rsid w:val="001A6A3E"/>
    <w:rsid w:val="001D0E28"/>
    <w:rsid w:val="001F4428"/>
    <w:rsid w:val="002007F2"/>
    <w:rsid w:val="00202E8B"/>
    <w:rsid w:val="00204089"/>
    <w:rsid w:val="002432EF"/>
    <w:rsid w:val="00245F3C"/>
    <w:rsid w:val="00252D1D"/>
    <w:rsid w:val="002662EB"/>
    <w:rsid w:val="002765DF"/>
    <w:rsid w:val="0029461F"/>
    <w:rsid w:val="002E242E"/>
    <w:rsid w:val="002E4BAD"/>
    <w:rsid w:val="002F0073"/>
    <w:rsid w:val="00336799"/>
    <w:rsid w:val="003371A1"/>
    <w:rsid w:val="00360104"/>
    <w:rsid w:val="003640EE"/>
    <w:rsid w:val="00382C63"/>
    <w:rsid w:val="003870E2"/>
    <w:rsid w:val="00394DEC"/>
    <w:rsid w:val="0039653C"/>
    <w:rsid w:val="003A575D"/>
    <w:rsid w:val="003D77AE"/>
    <w:rsid w:val="003E7B87"/>
    <w:rsid w:val="004073F1"/>
    <w:rsid w:val="0041238C"/>
    <w:rsid w:val="004210D5"/>
    <w:rsid w:val="00430637"/>
    <w:rsid w:val="00430BC6"/>
    <w:rsid w:val="00435A02"/>
    <w:rsid w:val="00464B87"/>
    <w:rsid w:val="004851BB"/>
    <w:rsid w:val="004A19DD"/>
    <w:rsid w:val="004A2493"/>
    <w:rsid w:val="004C31BA"/>
    <w:rsid w:val="004C7F3A"/>
    <w:rsid w:val="004E5A7E"/>
    <w:rsid w:val="00517B8E"/>
    <w:rsid w:val="00542B63"/>
    <w:rsid w:val="00550224"/>
    <w:rsid w:val="005676A8"/>
    <w:rsid w:val="005A577D"/>
    <w:rsid w:val="005B6DE9"/>
    <w:rsid w:val="005C02AF"/>
    <w:rsid w:val="005C170A"/>
    <w:rsid w:val="005D0811"/>
    <w:rsid w:val="005F6F92"/>
    <w:rsid w:val="00622273"/>
    <w:rsid w:val="00646DD3"/>
    <w:rsid w:val="00661DC2"/>
    <w:rsid w:val="00664C90"/>
    <w:rsid w:val="0068088B"/>
    <w:rsid w:val="0068392F"/>
    <w:rsid w:val="006A594B"/>
    <w:rsid w:val="006C1CD9"/>
    <w:rsid w:val="006F2EE5"/>
    <w:rsid w:val="006F4396"/>
    <w:rsid w:val="00705927"/>
    <w:rsid w:val="00723EC2"/>
    <w:rsid w:val="007353B0"/>
    <w:rsid w:val="00740A2C"/>
    <w:rsid w:val="00742DBC"/>
    <w:rsid w:val="00753097"/>
    <w:rsid w:val="00775FDE"/>
    <w:rsid w:val="00776CDA"/>
    <w:rsid w:val="00797D76"/>
    <w:rsid w:val="007C76AE"/>
    <w:rsid w:val="007D4429"/>
    <w:rsid w:val="007F59D6"/>
    <w:rsid w:val="008123EC"/>
    <w:rsid w:val="00812F58"/>
    <w:rsid w:val="00820E08"/>
    <w:rsid w:val="0082123A"/>
    <w:rsid w:val="00847D5F"/>
    <w:rsid w:val="008577C2"/>
    <w:rsid w:val="00865CC5"/>
    <w:rsid w:val="008A61DC"/>
    <w:rsid w:val="008C26C6"/>
    <w:rsid w:val="0091301C"/>
    <w:rsid w:val="0091583E"/>
    <w:rsid w:val="00920E0C"/>
    <w:rsid w:val="00931D97"/>
    <w:rsid w:val="0094558F"/>
    <w:rsid w:val="00960813"/>
    <w:rsid w:val="009679B8"/>
    <w:rsid w:val="009B26D8"/>
    <w:rsid w:val="009C3BF4"/>
    <w:rsid w:val="009D1A20"/>
    <w:rsid w:val="009F6249"/>
    <w:rsid w:val="00A004DA"/>
    <w:rsid w:val="00A176A4"/>
    <w:rsid w:val="00A40505"/>
    <w:rsid w:val="00A4486E"/>
    <w:rsid w:val="00A464A1"/>
    <w:rsid w:val="00A51F39"/>
    <w:rsid w:val="00AA179E"/>
    <w:rsid w:val="00AB127B"/>
    <w:rsid w:val="00AE3B97"/>
    <w:rsid w:val="00B20884"/>
    <w:rsid w:val="00B2342E"/>
    <w:rsid w:val="00B42CB5"/>
    <w:rsid w:val="00B445EF"/>
    <w:rsid w:val="00B64E42"/>
    <w:rsid w:val="00B952BE"/>
    <w:rsid w:val="00B965C2"/>
    <w:rsid w:val="00BA44BA"/>
    <w:rsid w:val="00BA5238"/>
    <w:rsid w:val="00BA64A8"/>
    <w:rsid w:val="00BA7211"/>
    <w:rsid w:val="00BF3A54"/>
    <w:rsid w:val="00C35D4D"/>
    <w:rsid w:val="00C44499"/>
    <w:rsid w:val="00C653D7"/>
    <w:rsid w:val="00C8528F"/>
    <w:rsid w:val="00CC2A0A"/>
    <w:rsid w:val="00CD7C0C"/>
    <w:rsid w:val="00CF2C65"/>
    <w:rsid w:val="00CF32A0"/>
    <w:rsid w:val="00D04C39"/>
    <w:rsid w:val="00D23784"/>
    <w:rsid w:val="00D317C9"/>
    <w:rsid w:val="00D42BF7"/>
    <w:rsid w:val="00D64114"/>
    <w:rsid w:val="00D817F2"/>
    <w:rsid w:val="00DA3829"/>
    <w:rsid w:val="00DC5731"/>
    <w:rsid w:val="00DE22C3"/>
    <w:rsid w:val="00DE72CC"/>
    <w:rsid w:val="00DE7E58"/>
    <w:rsid w:val="00E07F07"/>
    <w:rsid w:val="00E22973"/>
    <w:rsid w:val="00E23352"/>
    <w:rsid w:val="00E24EEB"/>
    <w:rsid w:val="00E269DF"/>
    <w:rsid w:val="00E40160"/>
    <w:rsid w:val="00E671A5"/>
    <w:rsid w:val="00E749A8"/>
    <w:rsid w:val="00E84745"/>
    <w:rsid w:val="00E87807"/>
    <w:rsid w:val="00E92AD4"/>
    <w:rsid w:val="00EB70CD"/>
    <w:rsid w:val="00EC78CE"/>
    <w:rsid w:val="00F11646"/>
    <w:rsid w:val="00F44F0A"/>
    <w:rsid w:val="00F4583A"/>
    <w:rsid w:val="00F72E7C"/>
    <w:rsid w:val="00F96DC3"/>
    <w:rsid w:val="00FB14C4"/>
    <w:rsid w:val="00FB7E7D"/>
    <w:rsid w:val="00FC7C79"/>
    <w:rsid w:val="00FE124B"/>
    <w:rsid w:val="00FE6A79"/>
    <w:rsid w:val="00FF3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6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lang w:val="es-AR" w:eastAsia="es-AR"/>
    </w:rPr>
  </w:style>
  <w:style w:type="paragraph" w:styleId="Ttulo1">
    <w:name w:val="heading 1"/>
    <w:basedOn w:val="Normal"/>
    <w:next w:val="Textoindependiente"/>
    <w:qFormat/>
    <w:rsid w:val="00A4486E"/>
    <w:pPr>
      <w:keepNext/>
      <w:keepLines/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Textoindependiente"/>
    <w:qFormat/>
    <w:rsid w:val="00A4486E"/>
    <w:pPr>
      <w:keepNext/>
      <w:keepLines/>
      <w:tabs>
        <w:tab w:val="num" w:pos="576"/>
      </w:tabs>
      <w:spacing w:before="360" w:after="80"/>
      <w:ind w:left="576" w:hanging="576"/>
      <w:outlineLvl w:val="1"/>
    </w:pPr>
    <w:rPr>
      <w:b/>
      <w:sz w:val="36"/>
    </w:rPr>
  </w:style>
  <w:style w:type="paragraph" w:styleId="Ttulo3">
    <w:name w:val="heading 3"/>
    <w:basedOn w:val="Normal"/>
    <w:next w:val="Textoindependiente"/>
    <w:qFormat/>
    <w:rsid w:val="00A4486E"/>
    <w:pPr>
      <w:keepNext/>
      <w:keepLines/>
      <w:tabs>
        <w:tab w:val="num" w:pos="720"/>
      </w:tabs>
      <w:spacing w:before="280" w:after="80"/>
      <w:ind w:left="720" w:hanging="720"/>
      <w:outlineLvl w:val="2"/>
    </w:pPr>
    <w:rPr>
      <w:b/>
      <w:sz w:val="28"/>
    </w:rPr>
  </w:style>
  <w:style w:type="paragraph" w:styleId="Ttulo4">
    <w:name w:val="heading 4"/>
    <w:basedOn w:val="Normal"/>
    <w:next w:val="Textoindependiente"/>
    <w:qFormat/>
    <w:rsid w:val="00A4486E"/>
    <w:pPr>
      <w:keepNext/>
      <w:keepLines/>
      <w:tabs>
        <w:tab w:val="num" w:pos="864"/>
      </w:tabs>
      <w:spacing w:before="240" w:after="40"/>
      <w:ind w:left="864" w:hanging="864"/>
      <w:outlineLvl w:val="3"/>
    </w:pPr>
    <w:rPr>
      <w:b/>
      <w:sz w:val="24"/>
    </w:rPr>
  </w:style>
  <w:style w:type="paragraph" w:styleId="Ttulo5">
    <w:name w:val="heading 5"/>
    <w:basedOn w:val="Normal"/>
    <w:next w:val="Textoindependiente"/>
    <w:qFormat/>
    <w:rsid w:val="00A4486E"/>
    <w:pPr>
      <w:keepNext/>
      <w:keepLines/>
      <w:tabs>
        <w:tab w:val="num" w:pos="1008"/>
      </w:tabs>
      <w:spacing w:before="220" w:after="40"/>
      <w:ind w:left="1008" w:hanging="1008"/>
      <w:outlineLvl w:val="4"/>
    </w:pPr>
    <w:rPr>
      <w:b/>
    </w:rPr>
  </w:style>
  <w:style w:type="paragraph" w:styleId="Ttulo6">
    <w:name w:val="heading 6"/>
    <w:basedOn w:val="Normal"/>
    <w:next w:val="Textoindependiente"/>
    <w:qFormat/>
    <w:rsid w:val="00A4486E"/>
    <w:pPr>
      <w:keepNext/>
      <w:keepLines/>
      <w:tabs>
        <w:tab w:val="num" w:pos="1152"/>
      </w:tabs>
      <w:spacing w:before="200" w:after="40"/>
      <w:ind w:left="1152" w:hanging="1152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A4486E"/>
  </w:style>
  <w:style w:type="character" w:customStyle="1" w:styleId="TextodegloboCar">
    <w:name w:val="Texto de globo Car"/>
    <w:rsid w:val="00A4486E"/>
    <w:rPr>
      <w:rFonts w:ascii="Tahoma" w:hAnsi="Tahoma" w:cs="Tahoma"/>
      <w:sz w:val="16"/>
      <w:szCs w:val="16"/>
    </w:rPr>
  </w:style>
  <w:style w:type="character" w:styleId="Hipervnculo">
    <w:name w:val="Hyperlink"/>
    <w:rsid w:val="00A4486E"/>
    <w:rPr>
      <w:color w:val="0000FF"/>
      <w:u w:val="single"/>
    </w:rPr>
  </w:style>
  <w:style w:type="character" w:customStyle="1" w:styleId="ListLabel1">
    <w:name w:val="ListLabel 1"/>
    <w:rsid w:val="00A4486E"/>
    <w:rPr>
      <w:rFonts w:eastAsia="Arial" w:cs="Arial"/>
      <w:position w:val="0"/>
      <w:sz w:val="22"/>
      <w:vertAlign w:val="baseline"/>
    </w:rPr>
  </w:style>
  <w:style w:type="character" w:customStyle="1" w:styleId="ListLabel2">
    <w:name w:val="ListLabel 2"/>
    <w:rsid w:val="00A4486E"/>
    <w:rPr>
      <w:rFonts w:eastAsia="Arial" w:cs="Arial"/>
      <w:i w:val="0"/>
      <w:position w:val="0"/>
      <w:sz w:val="22"/>
      <w:vertAlign w:val="baseline"/>
    </w:rPr>
  </w:style>
  <w:style w:type="character" w:customStyle="1" w:styleId="ListLabel3">
    <w:name w:val="ListLabel 3"/>
    <w:rsid w:val="00A4486E"/>
    <w:rPr>
      <w:rFonts w:eastAsia="Arial" w:cs="Arial"/>
      <w:b w:val="0"/>
      <w:position w:val="0"/>
      <w:sz w:val="22"/>
      <w:vertAlign w:val="baseline"/>
    </w:rPr>
  </w:style>
  <w:style w:type="paragraph" w:customStyle="1" w:styleId="Encabezado1">
    <w:name w:val="Encabezado1"/>
    <w:basedOn w:val="Normal"/>
    <w:next w:val="Textoindependiente"/>
    <w:rsid w:val="00A4486E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extoindependiente">
    <w:name w:val="Body Text"/>
    <w:basedOn w:val="Normal"/>
    <w:rsid w:val="00A4486E"/>
    <w:pPr>
      <w:spacing w:after="120"/>
    </w:pPr>
  </w:style>
  <w:style w:type="paragraph" w:styleId="Lista">
    <w:name w:val="List"/>
    <w:basedOn w:val="Textoindependiente"/>
    <w:rsid w:val="00A4486E"/>
    <w:rPr>
      <w:rFonts w:cs="Lohit Hindi"/>
    </w:rPr>
  </w:style>
  <w:style w:type="paragraph" w:styleId="Epgrafe">
    <w:name w:val="caption"/>
    <w:basedOn w:val="Normal"/>
    <w:qFormat/>
    <w:rsid w:val="00A4486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A4486E"/>
    <w:pPr>
      <w:suppressLineNumbers/>
    </w:pPr>
    <w:rPr>
      <w:rFonts w:cs="Lohit Hindi"/>
    </w:rPr>
  </w:style>
  <w:style w:type="paragraph" w:styleId="Ttulo">
    <w:name w:val="Title"/>
    <w:basedOn w:val="Normal"/>
    <w:next w:val="Subttulo"/>
    <w:qFormat/>
    <w:rsid w:val="00A4486E"/>
    <w:pPr>
      <w:keepNext/>
      <w:keepLines/>
      <w:spacing w:before="480" w:after="120"/>
      <w:jc w:val="center"/>
    </w:pPr>
    <w:rPr>
      <w:b/>
      <w:bCs/>
      <w:sz w:val="72"/>
      <w:szCs w:val="36"/>
    </w:rPr>
  </w:style>
  <w:style w:type="paragraph" w:styleId="Subttulo">
    <w:name w:val="Subtitle"/>
    <w:basedOn w:val="Normal"/>
    <w:next w:val="Textoindependiente"/>
    <w:qFormat/>
    <w:rsid w:val="00A4486E"/>
    <w:pPr>
      <w:keepNext/>
      <w:keepLines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customStyle="1" w:styleId="Textodeglobo1">
    <w:name w:val="Texto de globo1"/>
    <w:basedOn w:val="Normal"/>
    <w:rsid w:val="00A4486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4486E"/>
    <w:pPr>
      <w:suppressLineNumbers/>
      <w:tabs>
        <w:tab w:val="center" w:pos="4819"/>
        <w:tab w:val="right" w:pos="9638"/>
      </w:tabs>
    </w:pPr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4486E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link w:val="Encabezado"/>
    <w:rsid w:val="00063114"/>
    <w:rPr>
      <w:rFonts w:ascii="Calibri" w:eastAsia="Calibri" w:hAnsi="Calibri" w:cs="Calibri"/>
      <w:kern w:val="1"/>
      <w:sz w:val="22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16307F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1">
    <w:name w:val="Texto de globo Car1"/>
    <w:link w:val="Textodeglobo"/>
    <w:uiPriority w:val="99"/>
    <w:semiHidden/>
    <w:rsid w:val="0016307F"/>
    <w:rPr>
      <w:rFonts w:ascii="Segoe UI" w:eastAsia="Calibri" w:hAnsi="Segoe UI" w:cs="Segoe UI"/>
      <w:kern w:val="1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583E"/>
    <w:rPr>
      <w:rFonts w:cs="Times New Roman"/>
      <w:sz w:val="20"/>
    </w:rPr>
  </w:style>
  <w:style w:type="character" w:customStyle="1" w:styleId="TextonotapieCar">
    <w:name w:val="Texto nota pie Car"/>
    <w:link w:val="Textonotapie"/>
    <w:uiPriority w:val="99"/>
    <w:semiHidden/>
    <w:rsid w:val="0091583E"/>
    <w:rPr>
      <w:rFonts w:ascii="Calibri" w:eastAsia="Calibri" w:hAnsi="Calibri" w:cs="Calibri"/>
      <w:kern w:val="1"/>
    </w:rPr>
  </w:style>
  <w:style w:type="character" w:styleId="Refdenotaalpie">
    <w:name w:val="footnote reference"/>
    <w:uiPriority w:val="99"/>
    <w:semiHidden/>
    <w:unhideWhenUsed/>
    <w:rsid w:val="0091583E"/>
    <w:rPr>
      <w:vertAlign w:val="superscript"/>
    </w:rPr>
  </w:style>
  <w:style w:type="character" w:customStyle="1" w:styleId="Textodelmarcadordeposicin1">
    <w:name w:val="Texto del marcador de posición1"/>
    <w:semiHidden/>
    <w:rsid w:val="00B445EF"/>
    <w:rPr>
      <w:rFonts w:cs="Times New Roman"/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4C90"/>
    <w:rPr>
      <w:rFonts w:ascii="Calibri" w:eastAsia="Calibri" w:hAnsi="Calibri" w:cs="Calibri"/>
      <w:kern w:val="1"/>
      <w:sz w:val="22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0680-719E-4F95-AEAE-756BA3F8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argentina 2013.doc.docx</vt:lpstr>
    </vt:vector>
  </TitlesOfParts>
  <Company>EMPRESA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argentina 2013.doc.docx</dc:title>
  <dc:creator>USUARIO-PC</dc:creator>
  <cp:lastModifiedBy>Usuario de Windows</cp:lastModifiedBy>
  <cp:revision>20</cp:revision>
  <cp:lastPrinted>2023-02-08T21:43:00Z</cp:lastPrinted>
  <dcterms:created xsi:type="dcterms:W3CDTF">2023-02-08T21:32:00Z</dcterms:created>
  <dcterms:modified xsi:type="dcterms:W3CDTF">2023-03-30T19:55:00Z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U.N.R.C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