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Universidad Nacional de Río Cuarto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Facultad de Ciencias Humanas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Departamento: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Filosofía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Carrera: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Profesorado y Licenciatura en Filosofía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Asignatura: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Lógica </w:t>
      </w:r>
      <w:r>
        <w:rPr>
          <w:rFonts w:ascii="Arial-BoldMT" w:hAnsi="Arial-BoldMT" w:cs="Arial-BoldMT"/>
          <w:b/>
          <w:bCs/>
          <w:color w:val="000000"/>
        </w:rPr>
        <w:t xml:space="preserve">Código: </w:t>
      </w:r>
      <w:r>
        <w:rPr>
          <w:rFonts w:ascii="TimesNewRomanPSMT" w:hAnsi="TimesNewRomanPSMT" w:cs="TimesNewRomanPSMT"/>
          <w:color w:val="000000"/>
          <w:sz w:val="24"/>
          <w:szCs w:val="24"/>
        </w:rPr>
        <w:t>6471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Curso: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Primero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Comisión: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Régimen de la asignatura: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Anual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Asignación horaria semanal: </w:t>
      </w:r>
      <w:r>
        <w:rPr>
          <w:rFonts w:ascii="TimesNewRomanPSMT" w:hAnsi="TimesNewRomanPSMT" w:cs="TimesNewRomanPSMT"/>
          <w:color w:val="000000"/>
          <w:sz w:val="24"/>
          <w:szCs w:val="24"/>
        </w:rPr>
        <w:t>4 horas semanales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Asignación horaria total: </w:t>
      </w:r>
      <w:r>
        <w:rPr>
          <w:rFonts w:ascii="TimesNewRomanPSMT" w:hAnsi="TimesNewRomanPSMT" w:cs="TimesNewRomanPSMT"/>
          <w:color w:val="000000"/>
          <w:sz w:val="24"/>
          <w:szCs w:val="24"/>
        </w:rPr>
        <w:t>120 hs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Profesor Responsable: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Dr. Eduardo D.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Dib</w:t>
      </w:r>
      <w:proofErr w:type="spellEnd"/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Integrantes del equipo docente: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Lic. Alejandra Ciruelos, Dra. Aldana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D’Andrea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Dr. Eduardo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Dib</w:t>
      </w:r>
      <w:proofErr w:type="spellEnd"/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Año académico: </w:t>
      </w:r>
      <w:r w:rsidR="00E92064">
        <w:rPr>
          <w:rFonts w:ascii="TimesNewRomanPSMT" w:hAnsi="TimesNewRomanPSMT" w:cs="TimesNewRomanPSMT"/>
          <w:color w:val="000000"/>
          <w:sz w:val="24"/>
          <w:szCs w:val="24"/>
        </w:rPr>
        <w:t>2021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>Lugar y fecha</w:t>
      </w:r>
      <w:r>
        <w:rPr>
          <w:rFonts w:ascii="Arial-BoldMT" w:hAnsi="Arial-BoldMT" w:cs="Arial-BoldMT"/>
          <w:b/>
          <w:bCs/>
          <w:color w:val="818181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Río Cu</w:t>
      </w:r>
      <w:r w:rsidR="00E92064">
        <w:rPr>
          <w:rFonts w:ascii="TimesNewRomanPSMT" w:hAnsi="TimesNewRomanPSMT" w:cs="TimesNewRomanPSMT"/>
          <w:color w:val="000000"/>
          <w:sz w:val="24"/>
          <w:szCs w:val="24"/>
        </w:rPr>
        <w:t>arto, 20 de marzo de 2021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 FUNDAMENTACIÓN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Históricamente, los medios de la lógica estuvieron largo tiempo muy por detrás de su objetivo: establecer la preservación de la verdad en la inferencia necesaria. Recién para la segunda mitad del siglo XIX las investigaciones de pioneros como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Boole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Venn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Peirce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Frege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abrieron el camino hacia métodos completos y efectivos de decisión, y con ellos, hacia una mejor comprensión del alcance y los límites de una lógica formal. Durante el primer cuatrimestre, prestaremos atención a los resultados de dicho desarrollo y a la superior perspectiva así adquirida acerca de las relaciones entre verdad, validez e inferencia. Durante el segundo, abordaremos la discusión suscitada por este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desarrollo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en el terreno de la semántica filosófica, considerando dos perspectivas opuestas en torno a la referencia: la ortodoxa 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Frege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basada en objetos y la alternativa 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Kuhn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basada en mundos posibles.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2. OBJETIVOS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 el alumno adquiera</w:t>
      </w:r>
      <w:r w:rsidR="00E440CB">
        <w:rPr>
          <w:rFonts w:ascii="TimesNewRomanPSMT" w:hAnsi="TimesNewRomanPSMT" w:cs="TimesNewRomanPSMT"/>
          <w:color w:val="000000"/>
          <w:sz w:val="24"/>
          <w:szCs w:val="24"/>
        </w:rPr>
        <w:t xml:space="preserve"> y pueda expresar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una sólida comprensión inicial de la perspectiva abierta por la lógica contemporánea, de su rol histórico en la tradición filosófica y de su carácter en tanto disciplina filosófica, así como los conocimientos básicos que le permitan desarrollar ulteriormente dicha comprensión según vaya descubriendo sus propios intereses.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3. CONTENIDOS</w:t>
      </w:r>
    </w:p>
    <w:p w:rsidR="006B5EFD" w:rsidRDefault="006B5EFD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3655" w:rsidRDefault="0042706F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UNIDAD 1: </w:t>
      </w:r>
      <w:r w:rsidR="00DD3655">
        <w:rPr>
          <w:rFonts w:ascii="TimesNewRomanPSMT" w:hAnsi="TimesNewRomanPSMT" w:cs="TimesNewRomanPSMT"/>
          <w:color w:val="000000"/>
          <w:sz w:val="24"/>
          <w:szCs w:val="24"/>
        </w:rPr>
        <w:t>Lógica. Razonamiento. Argumento. Inferencia. Preservación de la verdad. Validez y verdad. Validez y forma lógica. Falacias formales y no formales. Ambigüedad y falacia. Ambigüedad y polisemia. Ambigüedad y generalidad.</w:t>
      </w:r>
    </w:p>
    <w:p w:rsidR="006B5EFD" w:rsidRDefault="006B5EFD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2706F" w:rsidRDefault="00125F17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UNIDAD 2: </w:t>
      </w:r>
      <w:r w:rsidRPr="00541971">
        <w:rPr>
          <w:rFonts w:ascii="Arial" w:hAnsi="Arial" w:cs="Arial"/>
          <w:sz w:val="24"/>
        </w:rPr>
        <w:t xml:space="preserve">La lógica informal y la teoría de la argumentación. Los orígenes de la lógica: el modelo matemático y el modelo jurídico-legal. Validez </w:t>
      </w:r>
      <w:r w:rsidRPr="00541971">
        <w:rPr>
          <w:rFonts w:ascii="Arial" w:hAnsi="Arial" w:cs="Arial"/>
          <w:i/>
          <w:sz w:val="24"/>
        </w:rPr>
        <w:t>vs</w:t>
      </w:r>
      <w:r w:rsidRPr="00541971">
        <w:rPr>
          <w:rFonts w:ascii="Arial" w:hAnsi="Arial" w:cs="Arial"/>
          <w:sz w:val="24"/>
        </w:rPr>
        <w:t xml:space="preserve"> Solidez. El ideal de las Buenas Razones y el Contexto. Análisis crítico de los argumentos: la estructura de S. </w:t>
      </w:r>
      <w:proofErr w:type="spellStart"/>
      <w:r w:rsidRPr="00541971">
        <w:rPr>
          <w:rFonts w:ascii="Arial" w:hAnsi="Arial" w:cs="Arial"/>
          <w:sz w:val="24"/>
        </w:rPr>
        <w:t>Toulmin</w:t>
      </w:r>
      <w:proofErr w:type="spellEnd"/>
      <w:r w:rsidRPr="00541971">
        <w:rPr>
          <w:rFonts w:ascii="Arial" w:hAnsi="Arial" w:cs="Arial"/>
          <w:sz w:val="24"/>
        </w:rPr>
        <w:t xml:space="preserve">. Evaluación de argumentos: Aceptabilidad, Relevancia y Suficiencia de las premisas. Estudio de las </w:t>
      </w:r>
      <w:r w:rsidRPr="00541971">
        <w:rPr>
          <w:rFonts w:ascii="Arial" w:hAnsi="Arial" w:cs="Arial"/>
          <w:sz w:val="24"/>
        </w:rPr>
        <w:lastRenderedPageBreak/>
        <w:t xml:space="preserve">falacias: </w:t>
      </w:r>
      <w:proofErr w:type="spellStart"/>
      <w:r w:rsidRPr="00541971">
        <w:rPr>
          <w:rFonts w:ascii="Arial" w:hAnsi="Arial" w:cs="Arial"/>
          <w:sz w:val="24"/>
        </w:rPr>
        <w:t>Atinencia</w:t>
      </w:r>
      <w:proofErr w:type="spellEnd"/>
      <w:r w:rsidRPr="00541971">
        <w:rPr>
          <w:rFonts w:ascii="Arial" w:hAnsi="Arial" w:cs="Arial"/>
          <w:sz w:val="24"/>
        </w:rPr>
        <w:t xml:space="preserve"> y Ambigüedad. ¿Razonan los filósofos?: Argumentos trascendentales y experimentos mentales en Filosofía</w:t>
      </w:r>
      <w:bookmarkStart w:id="0" w:name="_GoBack"/>
      <w:bookmarkEnd w:id="0"/>
      <w:r w:rsidRPr="00541971">
        <w:rPr>
          <w:rFonts w:ascii="Arial" w:hAnsi="Arial" w:cs="Arial"/>
          <w:sz w:val="24"/>
        </w:rPr>
        <w:t>.</w:t>
      </w:r>
    </w:p>
    <w:p w:rsidR="006B5EFD" w:rsidRDefault="006B5EFD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2706F" w:rsidRDefault="0042706F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UNIDAD 3: </w:t>
      </w:r>
      <w:r w:rsidR="00DD3655">
        <w:rPr>
          <w:rFonts w:ascii="TimesNewRomanPSMT" w:hAnsi="TimesNewRomanPSMT" w:cs="TimesNewRomanPSMT"/>
          <w:color w:val="000000"/>
          <w:sz w:val="24"/>
          <w:szCs w:val="24"/>
        </w:rPr>
        <w:t xml:space="preserve">Proposición y enunciación. Proposiciones atómicas y moleculares. Constantes y variables. Funciones y tablas de verdad. Tautología y ley lógica. Contradicción y trivialidad. Contingencia y contenido. </w:t>
      </w:r>
      <w:proofErr w:type="spellStart"/>
      <w:r w:rsidR="00DD3655">
        <w:rPr>
          <w:rFonts w:ascii="TimesNewRomanPSMT" w:hAnsi="TimesNewRomanPSMT" w:cs="TimesNewRomanPSMT"/>
          <w:color w:val="000000"/>
          <w:sz w:val="24"/>
          <w:szCs w:val="24"/>
        </w:rPr>
        <w:t>Interdefinibilidad</w:t>
      </w:r>
      <w:proofErr w:type="spellEnd"/>
      <w:r w:rsidR="00DD3655">
        <w:rPr>
          <w:rFonts w:ascii="TimesNewRomanPSMT" w:hAnsi="TimesNewRomanPSMT" w:cs="TimesNewRomanPSMT"/>
          <w:color w:val="000000"/>
          <w:sz w:val="24"/>
          <w:szCs w:val="24"/>
        </w:rPr>
        <w:t>. Condicional asociado.</w:t>
      </w:r>
    </w:p>
    <w:p w:rsidR="006B5EFD" w:rsidRDefault="006B5EFD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B5EFD" w:rsidRDefault="0042706F" w:rsidP="00541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UNIDAD 4: </w:t>
      </w:r>
      <w:r w:rsidR="00DD3655">
        <w:rPr>
          <w:rFonts w:ascii="TimesNewRomanPSMT" w:hAnsi="TimesNewRomanPSMT" w:cs="TimesNewRomanPSMT"/>
          <w:color w:val="000000"/>
          <w:sz w:val="24"/>
          <w:szCs w:val="24"/>
        </w:rPr>
        <w:t xml:space="preserve">Deducción natural. Variables y meta-variables. Validez y regla. Cuantificadores. Predicados. Constantes y variables de individuo. Silogismo. Resolución por diagramas de </w:t>
      </w:r>
      <w:proofErr w:type="spellStart"/>
      <w:r w:rsidR="00DD3655">
        <w:rPr>
          <w:rFonts w:ascii="TimesNewRomanPSMT" w:hAnsi="TimesNewRomanPSMT" w:cs="TimesNewRomanPSMT"/>
          <w:color w:val="000000"/>
          <w:sz w:val="24"/>
          <w:szCs w:val="24"/>
        </w:rPr>
        <w:t>Venn</w:t>
      </w:r>
      <w:proofErr w:type="spellEnd"/>
      <w:r w:rsidR="00DD3655">
        <w:rPr>
          <w:rFonts w:ascii="TimesNewRomanPSMT" w:hAnsi="TimesNewRomanPSMT" w:cs="TimesNewRomanPSMT"/>
          <w:color w:val="000000"/>
          <w:sz w:val="24"/>
          <w:szCs w:val="24"/>
        </w:rPr>
        <w:t>. Lógica de primer orden. Resolución de argumentos por deducción natural y por tablas semánticas.</w:t>
      </w:r>
    </w:p>
    <w:p w:rsidR="00541971" w:rsidRDefault="00541971" w:rsidP="005419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B5EFD" w:rsidRPr="006B5EFD" w:rsidRDefault="00125F17" w:rsidP="006B5EFD">
      <w:pPr>
        <w:rPr>
          <w:rFonts w:cstheme="minorHAnsi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UNIDAD 5: </w:t>
      </w:r>
      <w:r w:rsidR="006B5EFD" w:rsidRPr="00541971">
        <w:rPr>
          <w:rFonts w:ascii="Arial" w:hAnsi="Arial" w:cs="Arial"/>
          <w:sz w:val="24"/>
          <w:szCs w:val="24"/>
        </w:rPr>
        <w:t xml:space="preserve">¿Quién es </w:t>
      </w:r>
      <w:proofErr w:type="spellStart"/>
      <w:r w:rsidR="006B5EFD" w:rsidRPr="00541971">
        <w:rPr>
          <w:rFonts w:ascii="Arial" w:hAnsi="Arial" w:cs="Arial"/>
          <w:sz w:val="24"/>
          <w:szCs w:val="24"/>
        </w:rPr>
        <w:t>Frege</w:t>
      </w:r>
      <w:proofErr w:type="spellEnd"/>
      <w:r w:rsidR="006B5EFD" w:rsidRPr="00541971">
        <w:rPr>
          <w:rFonts w:ascii="Arial" w:hAnsi="Arial" w:cs="Arial"/>
          <w:sz w:val="24"/>
          <w:szCs w:val="24"/>
        </w:rPr>
        <w:t xml:space="preserve"> para la lógica? Lógica clásica y lógica simbólica. El razonamiento como cálculo: el sueño de Leibniz y la </w:t>
      </w:r>
      <w:proofErr w:type="spellStart"/>
      <w:r w:rsidR="006B5EFD" w:rsidRPr="00541971">
        <w:rPr>
          <w:rFonts w:ascii="Arial" w:hAnsi="Arial" w:cs="Arial"/>
          <w:i/>
          <w:sz w:val="24"/>
          <w:szCs w:val="24"/>
        </w:rPr>
        <w:t>Begriffsschrift</w:t>
      </w:r>
      <w:proofErr w:type="spellEnd"/>
      <w:r w:rsidR="006B5EFD" w:rsidRPr="00541971">
        <w:rPr>
          <w:rFonts w:ascii="Arial" w:hAnsi="Arial" w:cs="Arial"/>
          <w:sz w:val="24"/>
          <w:szCs w:val="24"/>
        </w:rPr>
        <w:t>. Estudios semánticos. Revisión de los principios lógicos aristotélicos. Paradojas lógicas y el principio E</w:t>
      </w:r>
      <w:r w:rsidR="006B5EFD" w:rsidRPr="00541971">
        <w:rPr>
          <w:rFonts w:ascii="Arial" w:hAnsi="Arial" w:cs="Arial"/>
          <w:bCs/>
          <w:i/>
          <w:iCs/>
          <w:sz w:val="24"/>
          <w:szCs w:val="24"/>
        </w:rPr>
        <w:t xml:space="preserve">x </w:t>
      </w:r>
      <w:proofErr w:type="spellStart"/>
      <w:r w:rsidR="006B5EFD" w:rsidRPr="00541971">
        <w:rPr>
          <w:rFonts w:ascii="Arial" w:hAnsi="Arial" w:cs="Arial"/>
          <w:bCs/>
          <w:i/>
          <w:iCs/>
          <w:sz w:val="24"/>
          <w:szCs w:val="24"/>
        </w:rPr>
        <w:t>Contradictione</w:t>
      </w:r>
      <w:proofErr w:type="spellEnd"/>
      <w:r w:rsidR="006B5EFD" w:rsidRPr="00541971">
        <w:rPr>
          <w:rFonts w:ascii="Arial" w:hAnsi="Arial" w:cs="Arial"/>
          <w:bCs/>
          <w:i/>
          <w:iCs/>
          <w:sz w:val="24"/>
          <w:szCs w:val="24"/>
        </w:rPr>
        <w:t xml:space="preserve"> (</w:t>
      </w:r>
      <w:proofErr w:type="spellStart"/>
      <w:r w:rsidR="006B5EFD" w:rsidRPr="00541971">
        <w:rPr>
          <w:rFonts w:ascii="Arial" w:hAnsi="Arial" w:cs="Arial"/>
          <w:bCs/>
          <w:i/>
          <w:iCs/>
          <w:sz w:val="24"/>
          <w:szCs w:val="24"/>
        </w:rPr>
        <w:t>sequitur</w:t>
      </w:r>
      <w:proofErr w:type="spellEnd"/>
      <w:r w:rsidR="006B5EFD" w:rsidRPr="00541971">
        <w:rPr>
          <w:rFonts w:ascii="Arial" w:hAnsi="Arial" w:cs="Arial"/>
          <w:bCs/>
          <w:i/>
          <w:iCs/>
          <w:sz w:val="24"/>
          <w:szCs w:val="24"/>
        </w:rPr>
        <w:t xml:space="preserve">) </w:t>
      </w:r>
      <w:proofErr w:type="spellStart"/>
      <w:r w:rsidR="006B5EFD" w:rsidRPr="00541971">
        <w:rPr>
          <w:rFonts w:ascii="Arial" w:hAnsi="Arial" w:cs="Arial"/>
          <w:bCs/>
          <w:i/>
          <w:iCs/>
          <w:sz w:val="24"/>
          <w:szCs w:val="24"/>
        </w:rPr>
        <w:t>Quodlibet</w:t>
      </w:r>
      <w:proofErr w:type="spellEnd"/>
      <w:r w:rsidR="006B5EFD" w:rsidRPr="00541971">
        <w:rPr>
          <w:rFonts w:ascii="Arial" w:hAnsi="Arial" w:cs="Arial"/>
          <w:sz w:val="24"/>
          <w:szCs w:val="24"/>
        </w:rPr>
        <w:t xml:space="preserve">. La discusión sobre la bivalencia de la lógica clásica. Panorama de lógicas no clásicas. Empleo de </w:t>
      </w:r>
      <w:proofErr w:type="gramStart"/>
      <w:r w:rsidR="006B5EFD" w:rsidRPr="00541971">
        <w:rPr>
          <w:rFonts w:ascii="Arial" w:hAnsi="Arial" w:cs="Arial"/>
          <w:sz w:val="24"/>
          <w:szCs w:val="24"/>
        </w:rPr>
        <w:t>las lógicas clásica</w:t>
      </w:r>
      <w:proofErr w:type="gramEnd"/>
      <w:r w:rsidR="006B5EFD" w:rsidRPr="00541971">
        <w:rPr>
          <w:rFonts w:ascii="Arial" w:hAnsi="Arial" w:cs="Arial"/>
          <w:sz w:val="24"/>
          <w:szCs w:val="24"/>
        </w:rPr>
        <w:t xml:space="preserve"> y no clásicas en la Inteligencia Artificial.</w:t>
      </w:r>
    </w:p>
    <w:p w:rsidR="00DD3655" w:rsidRDefault="00125F17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UNIDAD 6: </w:t>
      </w:r>
      <w:r w:rsidR="00DD3655">
        <w:rPr>
          <w:rFonts w:ascii="TimesNewRomanPSMT" w:hAnsi="TimesNewRomanPSMT" w:cs="TimesNewRomanPSMT"/>
          <w:color w:val="000000"/>
          <w:sz w:val="24"/>
          <w:szCs w:val="24"/>
        </w:rPr>
        <w:t xml:space="preserve">Filosofía de la lógica y semántica filosófica. </w:t>
      </w:r>
      <w:proofErr w:type="spellStart"/>
      <w:r w:rsidR="00DD3655">
        <w:rPr>
          <w:rFonts w:ascii="TimesNewRomanPSMT" w:hAnsi="TimesNewRomanPSMT" w:cs="TimesNewRomanPSMT"/>
          <w:color w:val="000000"/>
          <w:sz w:val="24"/>
          <w:szCs w:val="24"/>
        </w:rPr>
        <w:t>Frege</w:t>
      </w:r>
      <w:proofErr w:type="spellEnd"/>
      <w:r w:rsidR="00DD3655">
        <w:rPr>
          <w:rFonts w:ascii="TimesNewRomanPSMT" w:hAnsi="TimesNewRomanPSMT" w:cs="TimesNewRomanPSMT"/>
          <w:color w:val="000000"/>
          <w:sz w:val="24"/>
          <w:szCs w:val="24"/>
        </w:rPr>
        <w:t xml:space="preserve">. Sentido y referencia. Intensión y extensión. Palabra y objeto. Enunciado y verdad. La sustitución </w:t>
      </w:r>
      <w:r w:rsidR="00DD365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salva </w:t>
      </w:r>
      <w:proofErr w:type="spellStart"/>
      <w:r w:rsidR="00DD365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veritate</w:t>
      </w:r>
      <w:proofErr w:type="spellEnd"/>
      <w:r w:rsidR="00DD365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="00DD3655">
        <w:rPr>
          <w:rFonts w:ascii="TimesNewRomanPSMT" w:hAnsi="TimesNewRomanPSMT" w:cs="TimesNewRomanPSMT"/>
          <w:color w:val="000000"/>
          <w:sz w:val="24"/>
          <w:szCs w:val="24"/>
        </w:rPr>
        <w:t xml:space="preserve">como criterio de equivalencia de significado. Cuantificación sobre objetos. </w:t>
      </w:r>
      <w:proofErr w:type="spellStart"/>
      <w:r w:rsidR="00DD3655">
        <w:rPr>
          <w:rFonts w:ascii="TimesNewRomanPSMT" w:hAnsi="TimesNewRomanPSMT" w:cs="TimesNewRomanPSMT"/>
          <w:color w:val="000000"/>
          <w:sz w:val="24"/>
          <w:szCs w:val="24"/>
        </w:rPr>
        <w:t>Kuhn</w:t>
      </w:r>
      <w:proofErr w:type="spellEnd"/>
      <w:r w:rsidR="00DD3655">
        <w:rPr>
          <w:rFonts w:ascii="TimesNewRomanPSMT" w:hAnsi="TimesNewRomanPSMT" w:cs="TimesNewRomanPSMT"/>
          <w:color w:val="000000"/>
          <w:sz w:val="24"/>
          <w:szCs w:val="24"/>
        </w:rPr>
        <w:t xml:space="preserve">. Teoría y verdad. </w:t>
      </w:r>
      <w:proofErr w:type="spellStart"/>
      <w:r w:rsidR="00DD3655">
        <w:rPr>
          <w:rFonts w:ascii="TimesNewRomanPSMT" w:hAnsi="TimesNewRomanPSMT" w:cs="TimesNewRomanPSMT"/>
          <w:color w:val="000000"/>
          <w:sz w:val="24"/>
          <w:szCs w:val="24"/>
        </w:rPr>
        <w:t>Lexicon</w:t>
      </w:r>
      <w:proofErr w:type="spellEnd"/>
      <w:r w:rsidR="00DD3655">
        <w:rPr>
          <w:rFonts w:ascii="TimesNewRomanPSMT" w:hAnsi="TimesNewRomanPSMT" w:cs="TimesNewRomanPSMT"/>
          <w:color w:val="000000"/>
          <w:sz w:val="24"/>
          <w:szCs w:val="24"/>
        </w:rPr>
        <w:t xml:space="preserve"> y mundos posibles. Inconmensurabilidad e intraducibilidad. Crítica al criterio de sustitución </w:t>
      </w:r>
      <w:r w:rsidR="00DD365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salva </w:t>
      </w:r>
      <w:proofErr w:type="spellStart"/>
      <w:r w:rsidR="00DD365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veritate</w:t>
      </w:r>
      <w:proofErr w:type="spellEnd"/>
      <w:r w:rsidR="00DD3655">
        <w:rPr>
          <w:rFonts w:ascii="TimesNewRomanPSMT" w:hAnsi="TimesNewRomanPSMT" w:cs="TimesNewRomanPSMT"/>
          <w:color w:val="000000"/>
          <w:sz w:val="24"/>
          <w:szCs w:val="24"/>
        </w:rPr>
        <w:t>. Crítica a la teoría causal de la referencia. Cuantificación sobre mundos posibles.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4. METODOLOGIA DE TRABAJO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desarrollarán teóricamente los contenidos por orden de presuposición y complejidad, pasando de los conceptos más generales e intuitivos a los más especializados y técnicos. Se indicarán conexiones con el marco más amplio de la tradición filosófica y su historia, remitiendo a la bibliografía pertinente. Se propondrán actividades prácticas que conduzcan al reconocimiento del particular punto de vista en que nos sitúa la lógica y lecturas que lleven a la reflexión filosófica sobre tal situación.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3655" w:rsidRDefault="00541971" w:rsidP="00DD3655">
      <w:pPr>
        <w:autoSpaceDE w:val="0"/>
        <w:autoSpaceDN w:val="0"/>
        <w:adjustRightInd w:val="0"/>
        <w:spacing w:after="0" w:line="240" w:lineRule="auto"/>
        <w:rPr>
          <w:rFonts w:ascii="ArialMT" w:eastAsia="ArialMT" w:hAnsi="TimesNewRomanPS-Italic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</w:rPr>
        <w:t>5. EVALUACIÓ</w:t>
      </w:r>
      <w:r w:rsidR="00DD3655">
        <w:rPr>
          <w:rFonts w:ascii="Arial-BoldMT" w:hAnsi="Arial-BoldMT" w:cs="Arial-BoldMT"/>
          <w:b/>
          <w:bCs/>
          <w:color w:val="000000"/>
        </w:rPr>
        <w:t xml:space="preserve">N 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MT" w:eastAsia="ArialMT" w:hAnsi="TimesNewRomanPS-ItalicMT" w:cs="ArialMT"/>
          <w:color w:val="000000"/>
          <w:sz w:val="16"/>
          <w:szCs w:val="16"/>
        </w:rPr>
      </w:pP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prevén dos exámenes parciales escritos. Los exámenes finales serán orales para quien obtenga la condición regular. En cambio, quien se presente al examen final como</w:t>
      </w:r>
      <w:r w:rsidR="006B2A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estudiante libre deberá rendir primero un examen escrito y aprobarlo para pasar al oral.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 criterio de corrección lo da el grado de aproximación a los objetivos propuestos</w:t>
      </w:r>
      <w:r w:rsidR="00E440CB">
        <w:rPr>
          <w:rFonts w:ascii="TimesNewRomanPSMT" w:hAnsi="TimesNewRomanPSMT" w:cs="TimesNewRomanPSMT"/>
          <w:color w:val="000000"/>
          <w:sz w:val="24"/>
          <w:szCs w:val="24"/>
        </w:rPr>
        <w:t xml:space="preserve"> que el alumno muestre en el examen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B2A7A" w:rsidRDefault="006B2A7A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5.1. REQUISITOS PARA LA OBTENCIÓN DE LAS DIFERENTES CONDICIONES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MT" w:eastAsia="ArialMT" w:hAnsi="TimesNewRomanPS-Italic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</w:rPr>
        <w:t xml:space="preserve">DE ESTUDIANTE </w:t>
      </w:r>
      <w:r>
        <w:rPr>
          <w:rFonts w:ascii="ArialMT" w:eastAsia="ArialMT" w:hAnsi="TimesNewRomanPS-ItalicMT" w:cs="ArialMT"/>
          <w:color w:val="000000"/>
          <w:sz w:val="16"/>
          <w:szCs w:val="16"/>
        </w:rPr>
        <w:t>(regular, promocional, vocacional, libre).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Para regularizar hay que asistir a un 80% de teóricos y otro tanto de prácticos, además</w:t>
      </w:r>
      <w:r w:rsidR="006B2A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 aprobar ambos parciales (con posibilidad de recuperar uno de ellos). Quien no reúna</w:t>
      </w:r>
      <w:r w:rsidR="006B2A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los requisitos anteriores tendrá la condición de estudiante libre.</w:t>
      </w:r>
    </w:p>
    <w:p w:rsidR="006B2A7A" w:rsidRDefault="006B2A7A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6. BIBLIOGRAFÍA</w:t>
      </w:r>
    </w:p>
    <w:p w:rsidR="008C76B1" w:rsidRDefault="008C76B1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DD3655" w:rsidRPr="00370E0F" w:rsidRDefault="008C76B1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6.1. MANUALES DE CONSULTA NECESA</w:t>
      </w:r>
      <w:r w:rsidR="00DD3655">
        <w:rPr>
          <w:rFonts w:ascii="Arial-BoldMT" w:hAnsi="Arial-BoldMT" w:cs="Arial-BoldMT"/>
          <w:b/>
          <w:bCs/>
          <w:color w:val="000000"/>
        </w:rPr>
        <w:t>RIA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GARRIDO, M.;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Lógica simbólica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Tecnos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Madrid, 1997</w:t>
      </w:r>
    </w:p>
    <w:p w:rsidR="008C76B1" w:rsidRDefault="00370E0F" w:rsidP="00DD365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COMESAÑA, J.</w:t>
      </w:r>
      <w:r w:rsidR="00541971" w:rsidRPr="00541971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M. (2001): Lógica informal. Falacias y Argumentos Filosóficos. </w:t>
      </w:r>
      <w:proofErr w:type="spellStart"/>
      <w:r w:rsidR="00541971" w:rsidRPr="00541971">
        <w:rPr>
          <w:rFonts w:ascii="Arial" w:eastAsia="Arial" w:hAnsi="Arial" w:cs="Arial"/>
          <w:color w:val="000000"/>
          <w:sz w:val="24"/>
          <w:szCs w:val="24"/>
          <w:lang w:eastAsia="es-AR"/>
        </w:rPr>
        <w:t>Eudeba</w:t>
      </w:r>
      <w:proofErr w:type="spellEnd"/>
      <w:r w:rsidR="00541971" w:rsidRPr="00541971">
        <w:rPr>
          <w:rFonts w:ascii="Arial" w:eastAsia="Arial" w:hAnsi="Arial" w:cs="Arial"/>
          <w:color w:val="000000"/>
          <w:sz w:val="24"/>
          <w:szCs w:val="24"/>
          <w:lang w:eastAsia="es-AR"/>
        </w:rPr>
        <w:t>.  Buenos Aires.</w:t>
      </w:r>
    </w:p>
    <w:p w:rsidR="00541971" w:rsidRPr="00541971" w:rsidRDefault="00370E0F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COPI, I.;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Introducción a la lógica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Eudeba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Bs. As., 1985</w:t>
      </w:r>
    </w:p>
    <w:p w:rsidR="00541971" w:rsidRDefault="00541971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DD3655" w:rsidRDefault="008C76B1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6.2. TEXTOS DE </w:t>
      </w:r>
      <w:r w:rsidR="00DD3655">
        <w:rPr>
          <w:rFonts w:ascii="Arial-BoldMT" w:hAnsi="Arial-BoldMT" w:cs="Arial-BoldMT"/>
          <w:b/>
          <w:bCs/>
          <w:color w:val="000000"/>
        </w:rPr>
        <w:t>L</w:t>
      </w:r>
      <w:r>
        <w:rPr>
          <w:rFonts w:ascii="Arial-BoldMT" w:hAnsi="Arial-BoldMT" w:cs="Arial-BoldMT"/>
          <w:b/>
          <w:bCs/>
          <w:color w:val="000000"/>
        </w:rPr>
        <w:t>EC</w:t>
      </w:r>
      <w:r w:rsidR="00DD3655">
        <w:rPr>
          <w:rFonts w:ascii="Arial-BoldMT" w:hAnsi="Arial-BoldMT" w:cs="Arial-BoldMT"/>
          <w:b/>
          <w:bCs/>
          <w:color w:val="000000"/>
        </w:rPr>
        <w:t>T</w:t>
      </w:r>
      <w:r>
        <w:rPr>
          <w:rFonts w:ascii="Arial-BoldMT" w:hAnsi="Arial-BoldMT" w:cs="Arial-BoldMT"/>
          <w:b/>
          <w:bCs/>
          <w:color w:val="000000"/>
        </w:rPr>
        <w:t>UR</w:t>
      </w:r>
      <w:r w:rsidR="00DD3655">
        <w:rPr>
          <w:rFonts w:ascii="Arial-BoldMT" w:hAnsi="Arial-BoldMT" w:cs="Arial-BoldMT"/>
          <w:b/>
          <w:bCs/>
          <w:color w:val="000000"/>
        </w:rPr>
        <w:t>A</w:t>
      </w:r>
      <w:r>
        <w:rPr>
          <w:rFonts w:ascii="Arial-BoldMT" w:hAnsi="Arial-BoldMT" w:cs="Arial-BoldMT"/>
          <w:b/>
          <w:bCs/>
          <w:color w:val="000000"/>
        </w:rPr>
        <w:t xml:space="preserve"> NECESARIA</w:t>
      </w:r>
    </w:p>
    <w:p w:rsidR="00370E0F" w:rsidRDefault="00370E0F" w:rsidP="008C76B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TOULMIN</w:t>
      </w:r>
      <w:r w:rsidRPr="00370E0F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S. (2007): </w:t>
      </w:r>
      <w:r w:rsidRPr="00370E0F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Los usos de la argumentación. </w:t>
      </w:r>
      <w:r w:rsidRPr="00370E0F">
        <w:rPr>
          <w:rFonts w:ascii="Arial" w:eastAsia="Arial" w:hAnsi="Arial" w:cs="Arial"/>
          <w:color w:val="000000"/>
          <w:sz w:val="24"/>
          <w:szCs w:val="24"/>
          <w:lang w:eastAsia="es-AR"/>
        </w:rPr>
        <w:t>Ediciones Península. Barcelona.</w:t>
      </w:r>
    </w:p>
    <w:p w:rsidR="00106ECE" w:rsidRPr="00370E0F" w:rsidRDefault="00106ECE" w:rsidP="008C76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AR"/>
        </w:rPr>
        <w:t>FREGE</w:t>
      </w:r>
      <w:r w:rsidRPr="00880243">
        <w:rPr>
          <w:rFonts w:ascii="Arial" w:hAnsi="Arial" w:cs="Arial"/>
          <w:sz w:val="24"/>
          <w:szCs w:val="24"/>
          <w:lang w:val="es-AR"/>
        </w:rPr>
        <w:t xml:space="preserve">, G. (1972) Prólogo a </w:t>
      </w:r>
      <w:proofErr w:type="spellStart"/>
      <w:r w:rsidRPr="00880243">
        <w:rPr>
          <w:rFonts w:ascii="Arial" w:hAnsi="Arial" w:cs="Arial"/>
          <w:i/>
          <w:sz w:val="24"/>
          <w:szCs w:val="24"/>
          <w:lang w:val="es-AR"/>
        </w:rPr>
        <w:t>Conceptografí</w:t>
      </w:r>
      <w:r w:rsidRPr="00880243">
        <w:rPr>
          <w:rFonts w:ascii="Arial" w:hAnsi="Arial" w:cs="Arial"/>
          <w:sz w:val="24"/>
          <w:szCs w:val="24"/>
          <w:lang w:val="es-AR"/>
        </w:rPr>
        <w:t>a</w:t>
      </w:r>
      <w:proofErr w:type="spellEnd"/>
      <w:r w:rsidRPr="00880243">
        <w:rPr>
          <w:rFonts w:ascii="Arial" w:hAnsi="Arial" w:cs="Arial"/>
          <w:sz w:val="24"/>
          <w:szCs w:val="24"/>
          <w:lang w:val="es-AR"/>
        </w:rPr>
        <w:t>, Ed. UNAM, México D.F.</w:t>
      </w:r>
    </w:p>
    <w:p w:rsidR="008C76B1" w:rsidRDefault="008C76B1" w:rsidP="008C76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FREGE, G.; “Sobre sentido y referencia”, 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Estudios sobre semántica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Ariel,</w:t>
      </w:r>
    </w:p>
    <w:p w:rsidR="008C76B1" w:rsidRDefault="008C76B1" w:rsidP="006B2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Barcelona, 1971, pp.51-86</w:t>
      </w:r>
    </w:p>
    <w:p w:rsidR="00DD3655" w:rsidRDefault="00370E0F" w:rsidP="006B2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KUHN</w:t>
      </w:r>
      <w:r w:rsidR="00DD3655">
        <w:rPr>
          <w:rFonts w:ascii="TimesNewRomanPSMT" w:hAnsi="TimesNewRomanPSMT" w:cs="TimesNewRomanPSMT"/>
          <w:color w:val="000000"/>
          <w:sz w:val="24"/>
          <w:szCs w:val="24"/>
        </w:rPr>
        <w:t xml:space="preserve">, T.S.; </w:t>
      </w:r>
      <w:proofErr w:type="spellStart"/>
      <w:r w:rsidR="00DD365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Possible</w:t>
      </w:r>
      <w:proofErr w:type="spellEnd"/>
      <w:r w:rsidR="00DD365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 w:rsidR="00DD365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worlds</w:t>
      </w:r>
      <w:proofErr w:type="spellEnd"/>
      <w:r w:rsidR="00DD365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in </w:t>
      </w:r>
      <w:proofErr w:type="spellStart"/>
      <w:r w:rsidR="00DD365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history</w:t>
      </w:r>
      <w:proofErr w:type="spellEnd"/>
      <w:r w:rsidR="00DD365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of </w:t>
      </w:r>
      <w:proofErr w:type="spellStart"/>
      <w:r w:rsidR="00DD365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science</w:t>
      </w:r>
      <w:proofErr w:type="spellEnd"/>
      <w:r w:rsidR="00DD3655">
        <w:rPr>
          <w:rFonts w:ascii="TimesNewRomanPSMT" w:hAnsi="TimesNewRomanPSMT" w:cs="TimesNewRomanPSMT"/>
          <w:color w:val="000000"/>
          <w:sz w:val="24"/>
          <w:szCs w:val="24"/>
        </w:rPr>
        <w:t>, conferencia inaugural del Nobel</w:t>
      </w:r>
      <w:r w:rsidR="006B2A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DD3655">
        <w:rPr>
          <w:rFonts w:ascii="TimesNewRomanPSMT" w:hAnsi="TimesNewRomanPSMT" w:cs="TimesNewRomanPSMT"/>
          <w:color w:val="000000"/>
          <w:sz w:val="24"/>
          <w:szCs w:val="24"/>
        </w:rPr>
        <w:t>Symposium</w:t>
      </w:r>
      <w:proofErr w:type="spellEnd"/>
      <w:r w:rsidR="00DD3655">
        <w:rPr>
          <w:rFonts w:ascii="TimesNewRomanPSMT" w:hAnsi="TimesNewRomanPSMT" w:cs="TimesNewRomanPSMT"/>
          <w:color w:val="000000"/>
          <w:sz w:val="24"/>
          <w:szCs w:val="24"/>
        </w:rPr>
        <w:t>, 1986</w:t>
      </w:r>
    </w:p>
    <w:p w:rsidR="008C76B1" w:rsidRDefault="008C76B1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D43EF" w:rsidRDefault="002D43EF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>6.3. TEXTOS DE LECTURA RECOMENDADA</w:t>
      </w:r>
    </w:p>
    <w:p w:rsidR="002D43EF" w:rsidRDefault="002D43EF" w:rsidP="002D4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proofErr w:type="spellStart"/>
      <w:r w:rsidRPr="00370E0F">
        <w:rPr>
          <w:rFonts w:ascii="Arial" w:eastAsia="Arial" w:hAnsi="Arial" w:cs="Arial"/>
          <w:color w:val="000000"/>
          <w:sz w:val="24"/>
          <w:szCs w:val="24"/>
          <w:lang w:eastAsia="es-AR"/>
        </w:rPr>
        <w:t>Klimovsky</w:t>
      </w:r>
      <w:proofErr w:type="spellEnd"/>
      <w:r w:rsidRPr="00370E0F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G. (1995): </w:t>
      </w:r>
      <w:r w:rsidRPr="00370E0F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Las Desventuras del Conocimiento Científico.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AZ editora.</w:t>
      </w:r>
    </w:p>
    <w:p w:rsidR="002D43EF" w:rsidRPr="00370E0F" w:rsidRDefault="002D43EF" w:rsidP="002D4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370E0F">
        <w:rPr>
          <w:rFonts w:ascii="Arial" w:eastAsia="Arial" w:hAnsi="Arial" w:cs="Arial"/>
          <w:color w:val="000000"/>
          <w:sz w:val="24"/>
          <w:szCs w:val="24"/>
          <w:lang w:eastAsia="es-AR"/>
        </w:rPr>
        <w:t>Buenos Aires.</w:t>
      </w:r>
    </w:p>
    <w:p w:rsidR="002D43EF" w:rsidRDefault="002D43EF" w:rsidP="002D4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i/>
          <w:color w:val="000000"/>
          <w:sz w:val="24"/>
          <w:szCs w:val="24"/>
          <w:lang w:eastAsia="es-AR"/>
        </w:rPr>
      </w:pPr>
      <w:r w:rsidRPr="00370E0F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Solas, S., </w:t>
      </w:r>
      <w:proofErr w:type="spellStart"/>
      <w:r w:rsidRPr="00370E0F">
        <w:rPr>
          <w:rFonts w:ascii="Arial" w:eastAsia="Arial" w:hAnsi="Arial" w:cs="Arial"/>
          <w:color w:val="000000"/>
          <w:sz w:val="24"/>
          <w:szCs w:val="24"/>
          <w:lang w:eastAsia="es-AR"/>
        </w:rPr>
        <w:t>Oller</w:t>
      </w:r>
      <w:proofErr w:type="spellEnd"/>
      <w:r w:rsidRPr="00370E0F">
        <w:rPr>
          <w:rFonts w:ascii="Arial" w:eastAsia="Arial" w:hAnsi="Arial" w:cs="Arial"/>
          <w:color w:val="000000"/>
          <w:sz w:val="24"/>
          <w:szCs w:val="24"/>
          <w:lang w:eastAsia="es-AR"/>
        </w:rPr>
        <w:t>, C. y Ferrari, L. (</w:t>
      </w:r>
      <w:proofErr w:type="spellStart"/>
      <w:r w:rsidRPr="00370E0F">
        <w:rPr>
          <w:rFonts w:ascii="Arial" w:eastAsia="Arial" w:hAnsi="Arial" w:cs="Arial"/>
          <w:color w:val="000000"/>
          <w:sz w:val="24"/>
          <w:szCs w:val="24"/>
          <w:lang w:eastAsia="es-AR"/>
        </w:rPr>
        <w:t>Coords</w:t>
      </w:r>
      <w:proofErr w:type="spellEnd"/>
      <w:r w:rsidRPr="00370E0F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), (2013): </w:t>
      </w:r>
      <w:r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Introducción a la filosofía,</w:t>
      </w:r>
    </w:p>
    <w:p w:rsidR="002D43EF" w:rsidRDefault="002D43EF" w:rsidP="002D4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370E0F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Argumentación filosófica, Lectura académica.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Edulp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. Universidad Nacional de</w:t>
      </w:r>
    </w:p>
    <w:p w:rsidR="002D43EF" w:rsidRDefault="002D43EF" w:rsidP="002D43E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370E0F">
        <w:rPr>
          <w:rFonts w:ascii="Arial" w:eastAsia="Arial" w:hAnsi="Arial" w:cs="Arial"/>
          <w:color w:val="000000"/>
          <w:sz w:val="24"/>
          <w:szCs w:val="24"/>
          <w:lang w:eastAsia="es-AR"/>
        </w:rPr>
        <w:t>La Plata. Buenos Aires.</w:t>
      </w:r>
    </w:p>
    <w:p w:rsidR="002D43EF" w:rsidRPr="00880243" w:rsidRDefault="00880243" w:rsidP="00880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80243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Vega </w:t>
      </w:r>
      <w:proofErr w:type="spellStart"/>
      <w:r w:rsidRPr="00880243">
        <w:rPr>
          <w:rFonts w:ascii="Arial" w:eastAsia="Arial" w:hAnsi="Arial" w:cs="Arial"/>
          <w:color w:val="000000"/>
          <w:sz w:val="24"/>
          <w:szCs w:val="24"/>
          <w:lang w:eastAsia="es-AR"/>
        </w:rPr>
        <w:t>Reñón</w:t>
      </w:r>
      <w:proofErr w:type="spellEnd"/>
      <w:r w:rsidRPr="00880243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L. (2006): “Argumentación y filosofía” en </w:t>
      </w:r>
      <w:r w:rsidRPr="00880243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Revista </w:t>
      </w:r>
      <w:proofErr w:type="spellStart"/>
      <w:r w:rsidRPr="00880243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Lindajara</w:t>
      </w:r>
      <w:proofErr w:type="spellEnd"/>
      <w:r w:rsidRPr="00880243">
        <w:rPr>
          <w:rFonts w:ascii="Arial" w:eastAsia="Arial" w:hAnsi="Arial" w:cs="Arial"/>
          <w:color w:val="000000"/>
          <w:sz w:val="24"/>
          <w:szCs w:val="24"/>
          <w:lang w:eastAsia="es-AR"/>
        </w:rPr>
        <w:t>, n° 6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</w:t>
      </w:r>
    </w:p>
    <w:p w:rsidR="00880243" w:rsidRPr="00106ECE" w:rsidRDefault="00880243" w:rsidP="00106ECE">
      <w:pPr>
        <w:autoSpaceDE w:val="0"/>
        <w:autoSpaceDN w:val="0"/>
        <w:adjustRightInd w:val="0"/>
        <w:spacing w:after="0" w:line="240" w:lineRule="auto"/>
        <w:contextualSpacing/>
        <w:rPr>
          <w:rStyle w:val="st"/>
          <w:rFonts w:ascii="Arial" w:hAnsi="Arial" w:cs="Arial"/>
          <w:sz w:val="24"/>
          <w:szCs w:val="24"/>
        </w:rPr>
      </w:pPr>
      <w:r w:rsidRPr="00106ECE">
        <w:rPr>
          <w:rFonts w:ascii="Arial" w:hAnsi="Arial" w:cs="Arial"/>
          <w:sz w:val="24"/>
          <w:szCs w:val="24"/>
          <w:lang w:val="en-US"/>
        </w:rPr>
        <w:t>Andrew, F.; “</w:t>
      </w:r>
      <w:r w:rsidRPr="00106ECE">
        <w:rPr>
          <w:rFonts w:ascii="Arial" w:hAnsi="Arial" w:cs="Arial"/>
          <w:bCs/>
          <w:sz w:val="24"/>
          <w:szCs w:val="24"/>
          <w:lang w:val="en-US"/>
        </w:rPr>
        <w:t xml:space="preserve">The Principle of Excluded Middle then and now: Aristotle and </w:t>
      </w:r>
      <w:r w:rsidRPr="00106ECE">
        <w:rPr>
          <w:rFonts w:ascii="Arial" w:hAnsi="Arial" w:cs="Arial"/>
          <w:bCs/>
          <w:iCs/>
          <w:sz w:val="24"/>
          <w:szCs w:val="24"/>
          <w:lang w:val="en-US"/>
        </w:rPr>
        <w:t xml:space="preserve">Principia </w:t>
      </w:r>
      <w:proofErr w:type="spellStart"/>
      <w:r w:rsidRPr="00106ECE">
        <w:rPr>
          <w:rFonts w:ascii="Arial" w:hAnsi="Arial" w:cs="Arial"/>
          <w:bCs/>
          <w:iCs/>
          <w:sz w:val="24"/>
          <w:szCs w:val="24"/>
          <w:lang w:val="en-US"/>
        </w:rPr>
        <w:t>Mathematica</w:t>
      </w:r>
      <w:proofErr w:type="spellEnd"/>
      <w:r w:rsidRPr="00106ECE">
        <w:rPr>
          <w:rFonts w:ascii="Arial" w:hAnsi="Arial" w:cs="Arial"/>
          <w:bCs/>
          <w:iCs/>
          <w:sz w:val="24"/>
          <w:szCs w:val="24"/>
          <w:lang w:val="en-US"/>
        </w:rPr>
        <w:t>”.</w:t>
      </w:r>
      <w:r w:rsidRPr="00106ECE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06ECE">
        <w:rPr>
          <w:rStyle w:val="st"/>
          <w:rFonts w:ascii="Arial" w:hAnsi="Arial" w:cs="Arial"/>
          <w:i/>
          <w:sz w:val="24"/>
          <w:szCs w:val="24"/>
        </w:rPr>
        <w:t>Animus</w:t>
      </w:r>
      <w:proofErr w:type="spellEnd"/>
      <w:r w:rsidRPr="00106ECE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106ECE">
        <w:rPr>
          <w:rStyle w:val="st"/>
          <w:rFonts w:ascii="Arial" w:hAnsi="Arial" w:cs="Arial"/>
          <w:sz w:val="24"/>
          <w:szCs w:val="24"/>
        </w:rPr>
        <w:t>1, 1996. [Selec</w:t>
      </w:r>
      <w:r w:rsidR="00106ECE">
        <w:rPr>
          <w:rStyle w:val="st"/>
          <w:rFonts w:ascii="Arial" w:hAnsi="Arial" w:cs="Arial"/>
          <w:sz w:val="24"/>
          <w:szCs w:val="24"/>
        </w:rPr>
        <w:t>ción</w:t>
      </w:r>
      <w:r w:rsidR="00106ECE" w:rsidRPr="00106ECE">
        <w:rPr>
          <w:rStyle w:val="st"/>
          <w:rFonts w:ascii="Arial" w:hAnsi="Arial" w:cs="Arial"/>
          <w:sz w:val="24"/>
          <w:szCs w:val="24"/>
        </w:rPr>
        <w:t xml:space="preserve"> </w:t>
      </w:r>
      <w:r w:rsidR="00106ECE">
        <w:rPr>
          <w:rStyle w:val="st"/>
          <w:rFonts w:ascii="Arial" w:hAnsi="Arial" w:cs="Arial"/>
          <w:sz w:val="24"/>
          <w:szCs w:val="24"/>
        </w:rPr>
        <w:t>y t</w:t>
      </w:r>
      <w:r w:rsidR="00106ECE" w:rsidRPr="00106ECE">
        <w:rPr>
          <w:rStyle w:val="st"/>
          <w:rFonts w:ascii="Arial" w:hAnsi="Arial" w:cs="Arial"/>
          <w:sz w:val="24"/>
          <w:szCs w:val="24"/>
        </w:rPr>
        <w:t>raducción de la cátedra]</w:t>
      </w:r>
    </w:p>
    <w:p w:rsidR="00880243" w:rsidRPr="00106ECE" w:rsidRDefault="00880243" w:rsidP="00106ECE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106ECE">
        <w:rPr>
          <w:rFonts w:ascii="Arial" w:hAnsi="Arial" w:cs="Arial"/>
          <w:sz w:val="24"/>
          <w:szCs w:val="24"/>
        </w:rPr>
        <w:t>Palau</w:t>
      </w:r>
      <w:proofErr w:type="spellEnd"/>
      <w:r w:rsidRPr="00106ECE">
        <w:rPr>
          <w:rFonts w:ascii="Arial" w:hAnsi="Arial" w:cs="Arial"/>
          <w:sz w:val="24"/>
          <w:szCs w:val="24"/>
        </w:rPr>
        <w:t xml:space="preserve">, G.; </w:t>
      </w:r>
      <w:r w:rsidRPr="00106ECE">
        <w:rPr>
          <w:rFonts w:ascii="Arial" w:hAnsi="Arial" w:cs="Arial"/>
          <w:i/>
          <w:sz w:val="24"/>
          <w:szCs w:val="24"/>
        </w:rPr>
        <w:t>Introducción filosófica a las lógicas no clásicas</w:t>
      </w:r>
      <w:r w:rsidRPr="00106E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6ECE">
        <w:rPr>
          <w:rFonts w:ascii="Arial" w:hAnsi="Arial" w:cs="Arial"/>
          <w:sz w:val="24"/>
          <w:szCs w:val="24"/>
        </w:rPr>
        <w:t>Gedisa</w:t>
      </w:r>
      <w:proofErr w:type="spellEnd"/>
      <w:r w:rsidRPr="00106ECE">
        <w:rPr>
          <w:rFonts w:ascii="Arial" w:hAnsi="Arial" w:cs="Arial"/>
          <w:sz w:val="24"/>
          <w:szCs w:val="24"/>
        </w:rPr>
        <w:t>,</w:t>
      </w:r>
      <w:r w:rsidR="00106ECE" w:rsidRPr="00106ECE">
        <w:rPr>
          <w:rFonts w:ascii="Arial" w:hAnsi="Arial" w:cs="Arial"/>
          <w:sz w:val="24"/>
          <w:szCs w:val="24"/>
        </w:rPr>
        <w:t xml:space="preserve"> Buenos Aires, 2002</w:t>
      </w:r>
      <w:r w:rsidR="00106ECE">
        <w:rPr>
          <w:rFonts w:ascii="Arial" w:hAnsi="Arial" w:cs="Arial"/>
          <w:sz w:val="24"/>
          <w:szCs w:val="24"/>
        </w:rPr>
        <w:t xml:space="preserve"> [Selección]</w:t>
      </w:r>
    </w:p>
    <w:p w:rsidR="00880243" w:rsidRDefault="00880243" w:rsidP="00880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106ECE">
        <w:rPr>
          <w:rFonts w:ascii="Arial" w:hAnsi="Arial" w:cs="Arial"/>
          <w:sz w:val="24"/>
          <w:szCs w:val="24"/>
        </w:rPr>
        <w:t>Parisi</w:t>
      </w:r>
      <w:proofErr w:type="spellEnd"/>
      <w:r w:rsidRPr="00106ECE">
        <w:rPr>
          <w:rFonts w:ascii="Arial" w:hAnsi="Arial" w:cs="Arial"/>
          <w:sz w:val="24"/>
          <w:szCs w:val="24"/>
        </w:rPr>
        <w:t xml:space="preserve">, L.; ““AI (Artificial </w:t>
      </w:r>
      <w:proofErr w:type="spellStart"/>
      <w:r w:rsidRPr="00106ECE">
        <w:rPr>
          <w:rFonts w:ascii="Arial" w:hAnsi="Arial" w:cs="Arial"/>
          <w:sz w:val="24"/>
          <w:szCs w:val="24"/>
        </w:rPr>
        <w:t>intelligence</w:t>
      </w:r>
      <w:proofErr w:type="spellEnd"/>
      <w:r w:rsidRPr="00106ECE">
        <w:rPr>
          <w:rFonts w:ascii="Arial" w:hAnsi="Arial" w:cs="Arial"/>
          <w:sz w:val="24"/>
          <w:szCs w:val="24"/>
        </w:rPr>
        <w:t xml:space="preserve">)”, en </w:t>
      </w:r>
      <w:proofErr w:type="spellStart"/>
      <w:r w:rsidRPr="00106ECE">
        <w:rPr>
          <w:rFonts w:ascii="Arial" w:hAnsi="Arial" w:cs="Arial"/>
          <w:sz w:val="24"/>
          <w:szCs w:val="24"/>
        </w:rPr>
        <w:t>Braidotti</w:t>
      </w:r>
      <w:proofErr w:type="spellEnd"/>
      <w:r w:rsidRPr="00106ECE">
        <w:rPr>
          <w:rFonts w:ascii="Arial" w:hAnsi="Arial" w:cs="Arial"/>
          <w:sz w:val="24"/>
          <w:szCs w:val="24"/>
        </w:rPr>
        <w:t xml:space="preserve">, R y </w:t>
      </w:r>
      <w:proofErr w:type="spellStart"/>
      <w:r w:rsidRPr="00106ECE">
        <w:rPr>
          <w:rFonts w:ascii="Arial" w:hAnsi="Arial" w:cs="Arial"/>
          <w:sz w:val="24"/>
          <w:szCs w:val="24"/>
        </w:rPr>
        <w:t>Hlavajova</w:t>
      </w:r>
      <w:proofErr w:type="spellEnd"/>
      <w:r w:rsidRPr="00106ECE">
        <w:rPr>
          <w:rFonts w:ascii="Arial" w:hAnsi="Arial" w:cs="Arial"/>
          <w:sz w:val="24"/>
          <w:szCs w:val="24"/>
        </w:rPr>
        <w:t xml:space="preserve">, M. (eds.), </w:t>
      </w:r>
      <w:proofErr w:type="spellStart"/>
      <w:r w:rsidRPr="00106ECE">
        <w:rPr>
          <w:rFonts w:ascii="Arial" w:hAnsi="Arial" w:cs="Arial"/>
          <w:i/>
          <w:sz w:val="24"/>
          <w:szCs w:val="24"/>
        </w:rPr>
        <w:t>Posthuman</w:t>
      </w:r>
      <w:proofErr w:type="spellEnd"/>
      <w:r w:rsidRPr="00106E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06ECE">
        <w:rPr>
          <w:rFonts w:ascii="Arial" w:hAnsi="Arial" w:cs="Arial"/>
          <w:i/>
          <w:sz w:val="24"/>
          <w:szCs w:val="24"/>
        </w:rPr>
        <w:t>glossary</w:t>
      </w:r>
      <w:proofErr w:type="spellEnd"/>
      <w:r w:rsidRPr="00106ECE">
        <w:rPr>
          <w:rFonts w:ascii="Arial" w:hAnsi="Arial" w:cs="Arial"/>
          <w:sz w:val="24"/>
          <w:szCs w:val="24"/>
        </w:rPr>
        <w:t xml:space="preserve">, Londres, </w:t>
      </w:r>
      <w:proofErr w:type="spellStart"/>
      <w:r w:rsidRPr="00106ECE">
        <w:rPr>
          <w:rFonts w:ascii="Arial" w:hAnsi="Arial" w:cs="Arial"/>
          <w:sz w:val="24"/>
          <w:szCs w:val="24"/>
        </w:rPr>
        <w:t>Bloomsbury</w:t>
      </w:r>
      <w:proofErr w:type="spellEnd"/>
      <w:r w:rsidRPr="00106ECE">
        <w:rPr>
          <w:rFonts w:ascii="Arial" w:hAnsi="Arial" w:cs="Arial"/>
          <w:sz w:val="24"/>
          <w:szCs w:val="24"/>
        </w:rPr>
        <w:t xml:space="preserve"> Publishing, 2018. [Traducción de la cátedra]</w:t>
      </w:r>
    </w:p>
    <w:p w:rsidR="00880243" w:rsidRDefault="00880243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D43EF" w:rsidRDefault="00880243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>6.4</w:t>
      </w:r>
      <w:r w:rsidR="002D43EF">
        <w:rPr>
          <w:rFonts w:ascii="Arial-BoldMT" w:hAnsi="Arial-BoldMT" w:cs="Arial-BoldMT"/>
          <w:b/>
          <w:bCs/>
          <w:color w:val="000000"/>
        </w:rPr>
        <w:t xml:space="preserve">. TEXTOS DE </w:t>
      </w:r>
      <w:r>
        <w:rPr>
          <w:rFonts w:ascii="Arial-BoldMT" w:hAnsi="Arial-BoldMT" w:cs="Arial-BoldMT"/>
          <w:b/>
          <w:bCs/>
          <w:color w:val="000000"/>
        </w:rPr>
        <w:t>CONSU</w:t>
      </w:r>
      <w:r w:rsidR="002D43EF">
        <w:rPr>
          <w:rFonts w:ascii="Arial-BoldMT" w:hAnsi="Arial-BoldMT" w:cs="Arial-BoldMT"/>
          <w:b/>
          <w:bCs/>
          <w:color w:val="000000"/>
        </w:rPr>
        <w:t>L</w:t>
      </w:r>
      <w:r>
        <w:rPr>
          <w:rFonts w:ascii="Arial-BoldMT" w:hAnsi="Arial-BoldMT" w:cs="Arial-BoldMT"/>
          <w:b/>
          <w:bCs/>
          <w:color w:val="000000"/>
        </w:rPr>
        <w:t>T</w:t>
      </w:r>
      <w:r w:rsidR="002D43EF">
        <w:rPr>
          <w:rFonts w:ascii="Arial-BoldMT" w:hAnsi="Arial-BoldMT" w:cs="Arial-BoldMT"/>
          <w:b/>
          <w:bCs/>
          <w:color w:val="000000"/>
        </w:rPr>
        <w:t>A RECOMENDADA</w:t>
      </w:r>
    </w:p>
    <w:p w:rsidR="00E440CB" w:rsidRPr="00E440CB" w:rsidRDefault="00E440CB" w:rsidP="00E440CB">
      <w:pPr>
        <w:ind w:left="284" w:hanging="284"/>
        <w:contextualSpacing/>
        <w:rPr>
          <w:rFonts w:ascii="Arial" w:hAnsi="Arial" w:cs="Arial"/>
          <w:sz w:val="24"/>
          <w:szCs w:val="24"/>
        </w:rPr>
      </w:pPr>
      <w:proofErr w:type="spellStart"/>
      <w:r w:rsidRPr="00E440CB">
        <w:rPr>
          <w:rFonts w:ascii="Arial" w:hAnsi="Arial" w:cs="Arial"/>
          <w:sz w:val="24"/>
          <w:szCs w:val="24"/>
        </w:rPr>
        <w:t>Haack</w:t>
      </w:r>
      <w:proofErr w:type="spellEnd"/>
      <w:r w:rsidRPr="00E440CB">
        <w:rPr>
          <w:rFonts w:ascii="Arial" w:hAnsi="Arial" w:cs="Arial"/>
          <w:sz w:val="24"/>
          <w:szCs w:val="24"/>
        </w:rPr>
        <w:t xml:space="preserve">, S.; </w:t>
      </w:r>
      <w:r w:rsidRPr="00E440CB">
        <w:rPr>
          <w:rFonts w:ascii="Arial" w:hAnsi="Arial" w:cs="Arial"/>
          <w:i/>
          <w:sz w:val="24"/>
          <w:szCs w:val="24"/>
        </w:rPr>
        <w:t>Filosofía de las lógicas</w:t>
      </w:r>
      <w:r w:rsidRPr="00E440CB">
        <w:rPr>
          <w:rFonts w:ascii="Arial" w:hAnsi="Arial" w:cs="Arial"/>
          <w:sz w:val="24"/>
          <w:szCs w:val="24"/>
        </w:rPr>
        <w:t xml:space="preserve">, Cátedra, Madrid, 1991. </w:t>
      </w:r>
    </w:p>
    <w:p w:rsidR="00E440CB" w:rsidRDefault="00E440CB" w:rsidP="00E44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E440CB">
        <w:rPr>
          <w:rFonts w:ascii="Arial" w:hAnsi="Arial" w:cs="Arial"/>
          <w:sz w:val="24"/>
          <w:szCs w:val="24"/>
        </w:rPr>
        <w:t>Klimovsky</w:t>
      </w:r>
      <w:proofErr w:type="spellEnd"/>
      <w:r w:rsidRPr="00E440CB">
        <w:rPr>
          <w:rFonts w:ascii="Arial" w:hAnsi="Arial" w:cs="Arial"/>
          <w:sz w:val="24"/>
          <w:szCs w:val="24"/>
        </w:rPr>
        <w:t xml:space="preserve">, G. y </w:t>
      </w:r>
      <w:proofErr w:type="spellStart"/>
      <w:r w:rsidRPr="00E440CB">
        <w:rPr>
          <w:rFonts w:ascii="Arial" w:hAnsi="Arial" w:cs="Arial"/>
          <w:sz w:val="24"/>
          <w:szCs w:val="24"/>
        </w:rPr>
        <w:t>Boido</w:t>
      </w:r>
      <w:proofErr w:type="spellEnd"/>
      <w:r w:rsidRPr="00E440CB">
        <w:rPr>
          <w:rFonts w:ascii="Arial" w:hAnsi="Arial" w:cs="Arial"/>
          <w:sz w:val="24"/>
          <w:szCs w:val="24"/>
        </w:rPr>
        <w:t xml:space="preserve">, G.; “Las antinomias lógicas” en </w:t>
      </w:r>
      <w:r w:rsidRPr="00E440CB">
        <w:rPr>
          <w:rFonts w:ascii="Arial" w:hAnsi="Arial" w:cs="Arial"/>
          <w:i/>
          <w:sz w:val="24"/>
          <w:szCs w:val="24"/>
        </w:rPr>
        <w:t>Las desventuras del conocimiento matemático</w:t>
      </w:r>
      <w:r w:rsidRPr="00E440CB">
        <w:rPr>
          <w:rFonts w:ascii="Arial" w:hAnsi="Arial" w:cs="Arial"/>
          <w:sz w:val="24"/>
          <w:szCs w:val="24"/>
        </w:rPr>
        <w:t>, AZ Editora, Buenos Aires, 2005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Meyer, M.; “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Hintikka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 los mundos posibles”, 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Lógica, lenguaje y argumentación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6B2A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Hachette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Bs. As., 1987, pp.101-128</w:t>
      </w:r>
    </w:p>
    <w:p w:rsidR="00DD3655" w:rsidRPr="002D43EF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43EF">
        <w:rPr>
          <w:rFonts w:ascii="Arial" w:hAnsi="Arial" w:cs="Arial"/>
          <w:color w:val="000000"/>
          <w:sz w:val="24"/>
          <w:szCs w:val="24"/>
        </w:rPr>
        <w:t xml:space="preserve">Wittgenstein, L.; </w:t>
      </w:r>
      <w:proofErr w:type="spellStart"/>
      <w:r w:rsidRPr="002D43EF">
        <w:rPr>
          <w:rFonts w:ascii="Arial" w:hAnsi="Arial" w:cs="Arial"/>
          <w:i/>
          <w:iCs/>
          <w:color w:val="000000"/>
          <w:sz w:val="24"/>
          <w:szCs w:val="24"/>
        </w:rPr>
        <w:t>Tractatus</w:t>
      </w:r>
      <w:proofErr w:type="spellEnd"/>
      <w:r w:rsidRPr="002D43E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2D43EF">
        <w:rPr>
          <w:rFonts w:ascii="Arial" w:hAnsi="Arial" w:cs="Arial"/>
          <w:i/>
          <w:iCs/>
          <w:color w:val="000000"/>
          <w:sz w:val="24"/>
          <w:szCs w:val="24"/>
        </w:rPr>
        <w:t>logico-philosophicus</w:t>
      </w:r>
      <w:proofErr w:type="spellEnd"/>
      <w:r w:rsidRPr="002D43EF">
        <w:rPr>
          <w:rFonts w:ascii="Arial" w:hAnsi="Arial" w:cs="Arial"/>
          <w:color w:val="000000"/>
          <w:sz w:val="24"/>
          <w:szCs w:val="24"/>
        </w:rPr>
        <w:t>, Alianza, Madrid, 1981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Russell, B.; “Vaguedad”, 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Antología semántica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(compilado por M. Bunge), Nueva</w:t>
      </w:r>
      <w:r w:rsidR="006B2A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Visión, Bs. As., 1960, pp.14-24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Tarski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A.; “Der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Wahrheitsbegriff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den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formalisierten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Sprachen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”, en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Studia</w:t>
      </w:r>
      <w:proofErr w:type="spellEnd"/>
    </w:p>
    <w:p w:rsidR="00DD3655" w:rsidRPr="006B2A7A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Philosophica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I, Sociedad Filosófica Polaca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Polskie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Towarzystwo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Filologiczne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Lwów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6B2A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1935, pp.261-405 (presentado antes a la Academia de Ciencias de Viena, 1932)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Quine, W.V.O.; “Dos dogmas del empirismo”, 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Desde un punto de vista lógico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6B2A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Hyspamerica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Bs. As. 1985, pp.49-81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Quine, W. V.;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Los Métodos de la Lógica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Ariel, Barcelona, 1981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Aristóteles;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Tratados de lógica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Ed. Porrúa, México, 2008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Kant, I.;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Lógica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Corregidor, Bs. As., 2010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Hegel, G.W.F.;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Filosofía de la lógica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Claridad, Bs. As. 2006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Husserl, E.;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Investigaciones lógicas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Altaya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Barcelona, 1998</w:t>
      </w:r>
    </w:p>
    <w:p w:rsidR="00370E0F" w:rsidRPr="002D43EF" w:rsidRDefault="00DD3655" w:rsidP="002D43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Peirce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C.S.; “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Algebra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Logic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Contribution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Philosophy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Notation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”,</w:t>
      </w:r>
      <w:r w:rsidR="006B2A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American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Journal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Mathematics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Vol.7, No.2 (Jan.1885),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Johns Hopkins</w:t>
      </w:r>
      <w:r w:rsidR="006B2A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University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Press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Baltimore, pp.180-196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E.D.; “Consideraciones sobre algunos aspectos lógicos del giro lingüístico”, en</w:t>
      </w:r>
      <w:r w:rsidR="006B2A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Sentido y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performatividad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(compilado por H. Aguilar y M. Moyano), Fundación UNRC,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Río Cuarto, 2007, pp.107-121</w:t>
      </w:r>
    </w:p>
    <w:p w:rsidR="006B2A7A" w:rsidRDefault="006B2A7A" w:rsidP="00DD36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MT" w:eastAsia="ArialMT" w:hAnsi="TimesNewRomanPS-Italic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</w:rPr>
        <w:t xml:space="preserve">7. CRONOGRAMA </w:t>
      </w:r>
      <w:r>
        <w:rPr>
          <w:rFonts w:ascii="ArialMT" w:eastAsia="ArialMT" w:hAnsi="TimesNewRomanPS-ItalicMT" w:cs="ArialMT"/>
          <w:color w:val="000000"/>
          <w:sz w:val="16"/>
          <w:szCs w:val="16"/>
        </w:rPr>
        <w:t>(cantidad de clases asignadas a cada unidad o tema).</w:t>
      </w:r>
    </w:p>
    <w:p w:rsidR="000C55A6" w:rsidRDefault="000C55A6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3655" w:rsidRDefault="006B5EFD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UNIDAD 1: 8</w:t>
      </w:r>
      <w:r w:rsidR="00DD3655">
        <w:rPr>
          <w:rFonts w:ascii="TimesNewRomanPSMT" w:hAnsi="TimesNewRomanPSMT" w:cs="TimesNewRomanPSMT"/>
          <w:color w:val="000000"/>
          <w:sz w:val="24"/>
          <w:szCs w:val="24"/>
        </w:rPr>
        <w:t xml:space="preserve"> clases</w:t>
      </w:r>
    </w:p>
    <w:p w:rsidR="00DD3655" w:rsidRDefault="00422496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UNIDAD 2: 8</w:t>
      </w:r>
      <w:r w:rsidR="00DD3655">
        <w:rPr>
          <w:rFonts w:ascii="TimesNewRomanPSMT" w:hAnsi="TimesNewRomanPSMT" w:cs="TimesNewRomanPSMT"/>
          <w:color w:val="000000"/>
          <w:sz w:val="24"/>
          <w:szCs w:val="24"/>
        </w:rPr>
        <w:t xml:space="preserve"> clases</w:t>
      </w:r>
    </w:p>
    <w:p w:rsidR="00DD3655" w:rsidRDefault="00422496" w:rsidP="00DD36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UNIDAD 3: 8 clases</w:t>
      </w:r>
    </w:p>
    <w:p w:rsidR="006B2A7A" w:rsidRDefault="00422496" w:rsidP="006B2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UNIDAD 4: 8 clases</w:t>
      </w:r>
    </w:p>
    <w:p w:rsidR="00422496" w:rsidRDefault="00422496" w:rsidP="006B2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UNIDAD 5: 8 clases</w:t>
      </w:r>
    </w:p>
    <w:p w:rsidR="00422496" w:rsidRDefault="00422496" w:rsidP="006B2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UNIDAD 6: 8 clases</w:t>
      </w:r>
    </w:p>
    <w:p w:rsidR="00422496" w:rsidRDefault="00422496" w:rsidP="006B2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ArialMT" w:eastAsia="ArialMT" w:hAnsi="TimesNewRomanPS-Italic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</w:rPr>
        <w:t>8. HORARIOS DE CLASES Y DE CONSULTAS</w:t>
      </w:r>
    </w:p>
    <w:p w:rsidR="000C55A6" w:rsidRDefault="000C55A6" w:rsidP="00DD36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Teóricos: Viernes de 14 a </w:t>
      </w:r>
      <w:r w:rsidR="00422496">
        <w:rPr>
          <w:rFonts w:ascii="Calibri" w:hAnsi="Calibri" w:cs="Calibri"/>
          <w:color w:val="000000"/>
          <w:sz w:val="21"/>
          <w:szCs w:val="21"/>
        </w:rPr>
        <w:t>16 hs</w:t>
      </w:r>
    </w:p>
    <w:p w:rsidR="00DD3655" w:rsidRDefault="00422496" w:rsidP="00DD36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Prácticos: Mart</w:t>
      </w:r>
      <w:r w:rsidR="00DD3655">
        <w:rPr>
          <w:rFonts w:ascii="Calibri" w:hAnsi="Calibri" w:cs="Calibri"/>
          <w:color w:val="000000"/>
          <w:sz w:val="21"/>
          <w:szCs w:val="21"/>
        </w:rPr>
        <w:t xml:space="preserve">es de 16 a </w:t>
      </w:r>
      <w:r>
        <w:rPr>
          <w:rFonts w:ascii="Calibri" w:hAnsi="Calibri" w:cs="Calibri"/>
          <w:color w:val="000000"/>
          <w:sz w:val="21"/>
          <w:szCs w:val="21"/>
        </w:rPr>
        <w:t>18 hs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Horarios de consulta: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Ciruelos: Miércoles de 16 a 17:30</w:t>
      </w:r>
      <w:r w:rsidR="008C76B1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hs, Pabellón G,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cub</w:t>
      </w:r>
      <w:proofErr w:type="spellEnd"/>
      <w:r w:rsidR="00422496">
        <w:rPr>
          <w:rFonts w:ascii="Calibri" w:hAnsi="Calibri" w:cs="Calibri"/>
          <w:color w:val="000000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 xml:space="preserve"> 5</w:t>
      </w:r>
    </w:p>
    <w:p w:rsidR="00DD3655" w:rsidRDefault="00DD3655" w:rsidP="00DD36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1"/>
          <w:szCs w:val="21"/>
        </w:rPr>
        <w:t>Dib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: Jue</w:t>
      </w:r>
      <w:r w:rsidR="00422496">
        <w:rPr>
          <w:rFonts w:ascii="Calibri" w:hAnsi="Calibri" w:cs="Calibri"/>
          <w:color w:val="000000"/>
          <w:sz w:val="21"/>
          <w:szCs w:val="21"/>
        </w:rPr>
        <w:t>ves de 16 a 18</w:t>
      </w:r>
      <w:r>
        <w:rPr>
          <w:rFonts w:ascii="Calibri" w:hAnsi="Calibri" w:cs="Calibri"/>
          <w:color w:val="000000"/>
          <w:sz w:val="21"/>
          <w:szCs w:val="21"/>
        </w:rPr>
        <w:t xml:space="preserve"> hs, Pabellón B,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cub</w:t>
      </w:r>
      <w:proofErr w:type="spellEnd"/>
      <w:r w:rsidR="00422496">
        <w:rPr>
          <w:rFonts w:ascii="Calibri" w:hAnsi="Calibri" w:cs="Calibri"/>
          <w:color w:val="000000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 xml:space="preserve"> 24</w:t>
      </w:r>
    </w:p>
    <w:p w:rsidR="008C76B1" w:rsidRPr="006B2A7A" w:rsidRDefault="00DD3655" w:rsidP="006B2A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1"/>
          <w:szCs w:val="21"/>
        </w:rPr>
        <w:t>D’Andrea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: Jueves de 14 a 16, Pabellón G,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cub</w:t>
      </w:r>
      <w:proofErr w:type="spellEnd"/>
      <w:r w:rsidR="00422496">
        <w:rPr>
          <w:rFonts w:ascii="Calibri" w:hAnsi="Calibri" w:cs="Calibri"/>
          <w:color w:val="000000"/>
          <w:sz w:val="21"/>
          <w:szCs w:val="21"/>
        </w:rPr>
        <w:t>.</w:t>
      </w:r>
      <w:r>
        <w:rPr>
          <w:rFonts w:ascii="Calibri" w:hAnsi="Calibri" w:cs="Calibri"/>
          <w:color w:val="000000"/>
          <w:sz w:val="21"/>
          <w:szCs w:val="21"/>
        </w:rPr>
        <w:t xml:space="preserve"> 5</w:t>
      </w:r>
    </w:p>
    <w:sectPr w:rsidR="008C76B1" w:rsidRPr="006B2A7A" w:rsidSect="00D23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24EE"/>
    <w:multiLevelType w:val="multilevel"/>
    <w:tmpl w:val="AE98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D3655"/>
    <w:rsid w:val="000C55A6"/>
    <w:rsid w:val="00106ECE"/>
    <w:rsid w:val="00125F17"/>
    <w:rsid w:val="002D43EF"/>
    <w:rsid w:val="00370E0F"/>
    <w:rsid w:val="00422496"/>
    <w:rsid w:val="0042706F"/>
    <w:rsid w:val="00541971"/>
    <w:rsid w:val="0068010A"/>
    <w:rsid w:val="006B2A7A"/>
    <w:rsid w:val="006B5EFD"/>
    <w:rsid w:val="00880243"/>
    <w:rsid w:val="008C76B1"/>
    <w:rsid w:val="00D2341A"/>
    <w:rsid w:val="00DD3655"/>
    <w:rsid w:val="00E440CB"/>
    <w:rsid w:val="00E9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2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880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DEB8-5C5B-4C76-A96C-7407A7A6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1352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alguien</dc:creator>
  <cp:lastModifiedBy>alguien</cp:lastModifiedBy>
  <cp:revision>2</cp:revision>
  <dcterms:created xsi:type="dcterms:W3CDTF">2020-03-20T12:11:00Z</dcterms:created>
  <dcterms:modified xsi:type="dcterms:W3CDTF">2021-04-12T13:57:00Z</dcterms:modified>
</cp:coreProperties>
</file>