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Departamento:</w:t>
      </w:r>
      <w:r w:rsidDel="00000000" w:rsidR="00000000" w:rsidRPr="00000000">
        <w:rPr>
          <w:sz w:val="28"/>
          <w:szCs w:val="28"/>
          <w:rtl w:val="0"/>
        </w:rPr>
        <w:t xml:space="preserve"> Lenguas</w:t>
      </w:r>
    </w:p>
    <w:bookmarkStart w:colFirst="0" w:colLast="0" w:name="30j0zll" w:id="1"/>
    <w:bookmarkEnd w:id="1"/>
    <w:p w:rsidR="00000000" w:rsidDel="00000000" w:rsidP="00000000" w:rsidRDefault="00000000" w:rsidRPr="00000000" w14:paraId="00000003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Carrera: </w:t>
      </w:r>
      <w:r w:rsidDel="00000000" w:rsidR="00000000" w:rsidRPr="00000000">
        <w:rPr>
          <w:sz w:val="28"/>
          <w:szCs w:val="28"/>
          <w:rtl w:val="0"/>
        </w:rPr>
        <w:t xml:space="preserve">Profesorado de Inglés</w:t>
      </w:r>
    </w:p>
    <w:p w:rsidR="00000000" w:rsidDel="00000000" w:rsidP="00000000" w:rsidRDefault="00000000" w:rsidRPr="00000000" w14:paraId="00000004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Asignatura:</w:t>
      </w:r>
      <w:r w:rsidDel="00000000" w:rsidR="00000000" w:rsidRPr="00000000">
        <w:rPr>
          <w:sz w:val="28"/>
          <w:szCs w:val="28"/>
          <w:rtl w:val="0"/>
        </w:rPr>
        <w:t xml:space="preserve"> Pasantía I- Pasantía</w:t>
      </w:r>
      <w:r w:rsidDel="00000000" w:rsidR="00000000" w:rsidRPr="00000000">
        <w:rPr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Código/s:</w:t>
      </w:r>
      <w:r w:rsidDel="00000000" w:rsidR="00000000" w:rsidRPr="00000000">
        <w:rPr>
          <w:sz w:val="28"/>
          <w:szCs w:val="28"/>
          <w:rtl w:val="0"/>
        </w:rPr>
        <w:t xml:space="preserve"> 6512- 6393</w:t>
      </w:r>
    </w:p>
    <w:p w:rsidR="00000000" w:rsidDel="00000000" w:rsidP="00000000" w:rsidRDefault="00000000" w:rsidRPr="00000000" w14:paraId="00000006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Curso:</w:t>
      </w:r>
      <w:r w:rsidDel="00000000" w:rsidR="00000000" w:rsidRPr="00000000">
        <w:rPr>
          <w:sz w:val="28"/>
          <w:szCs w:val="28"/>
          <w:rtl w:val="0"/>
        </w:rPr>
        <w:t xml:space="preserve"> 2do Año</w:t>
      </w:r>
    </w:p>
    <w:p w:rsidR="00000000" w:rsidDel="00000000" w:rsidP="00000000" w:rsidRDefault="00000000" w:rsidRPr="00000000" w14:paraId="00000007">
      <w:pPr>
        <w:tabs>
          <w:tab w:val="left" w:pos="2179"/>
        </w:tabs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Comisión:</w:t>
      </w:r>
      <w:r w:rsidDel="00000000" w:rsidR="00000000" w:rsidRPr="00000000">
        <w:rPr>
          <w:sz w:val="28"/>
          <w:szCs w:val="28"/>
          <w:rtl w:val="0"/>
        </w:rPr>
        <w:t xml:space="preserve"> Única</w:t>
      </w:r>
    </w:p>
    <w:bookmarkStart w:colFirst="0" w:colLast="0" w:name="1fob9te" w:id="2"/>
    <w:bookmarkEnd w:id="2"/>
    <w:p w:rsidR="00000000" w:rsidDel="00000000" w:rsidP="00000000" w:rsidRDefault="00000000" w:rsidRPr="00000000" w14:paraId="00000008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Régimen de la asignatura:</w:t>
      </w:r>
      <w:r w:rsidDel="00000000" w:rsidR="00000000" w:rsidRPr="00000000">
        <w:rPr>
          <w:sz w:val="28"/>
          <w:szCs w:val="28"/>
          <w:rtl w:val="0"/>
        </w:rPr>
        <w:t xml:space="preserve"> Cuatrimestral</w:t>
      </w:r>
    </w:p>
    <w:p w:rsidR="00000000" w:rsidDel="00000000" w:rsidP="00000000" w:rsidRDefault="00000000" w:rsidRPr="00000000" w14:paraId="00000009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Asignación horaria semanal:</w:t>
      </w:r>
      <w:r w:rsidDel="00000000" w:rsidR="00000000" w:rsidRPr="00000000">
        <w:rPr>
          <w:sz w:val="28"/>
          <w:szCs w:val="28"/>
          <w:rtl w:val="0"/>
        </w:rPr>
        <w:t xml:space="preserve"> 2 horas</w:t>
      </w:r>
    </w:p>
    <w:p w:rsidR="00000000" w:rsidDel="00000000" w:rsidP="00000000" w:rsidRDefault="00000000" w:rsidRPr="00000000" w14:paraId="0000000A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Asignación horaria total:</w:t>
      </w:r>
      <w:r w:rsidDel="00000000" w:rsidR="00000000" w:rsidRPr="00000000">
        <w:rPr>
          <w:sz w:val="28"/>
          <w:szCs w:val="28"/>
          <w:rtl w:val="0"/>
        </w:rPr>
        <w:t xml:space="preserve"> 30 horas</w:t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Integrantes del equipo docente: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72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Profesor Responsable:</w:t>
      </w:r>
      <w:r w:rsidDel="00000000" w:rsidR="00000000" w:rsidRPr="00000000">
        <w:rPr>
          <w:sz w:val="28"/>
          <w:szCs w:val="28"/>
          <w:rtl w:val="0"/>
        </w:rPr>
        <w:t xml:space="preserve"> Prof. Elisa Cadario</w:t>
      </w:r>
    </w:p>
    <w:p w:rsidR="00000000" w:rsidDel="00000000" w:rsidP="00000000" w:rsidRDefault="00000000" w:rsidRPr="00000000" w14:paraId="0000000F">
      <w:pPr>
        <w:spacing w:after="0" w:lineRule="auto"/>
        <w:ind w:left="72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Colaborador a Cargo:</w:t>
      </w:r>
      <w:r w:rsidDel="00000000" w:rsidR="00000000" w:rsidRPr="00000000">
        <w:rPr>
          <w:sz w:val="28"/>
          <w:szCs w:val="28"/>
          <w:rtl w:val="0"/>
        </w:rPr>
        <w:t xml:space="preserve"> Prof. Fabiana Sacchi</w:t>
        <w:tab/>
      </w:r>
    </w:p>
    <w:p w:rsidR="00000000" w:rsidDel="00000000" w:rsidP="00000000" w:rsidRDefault="00000000" w:rsidRPr="00000000" w14:paraId="00000010">
      <w:pPr>
        <w:spacing w:after="0" w:lineRule="auto"/>
        <w:ind w:left="1416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Año académico:</w:t>
      </w:r>
      <w:r w:rsidDel="00000000" w:rsidR="00000000" w:rsidRPr="00000000">
        <w:rPr>
          <w:sz w:val="28"/>
          <w:szCs w:val="28"/>
          <w:rtl w:val="0"/>
        </w:rPr>
        <w:t xml:space="preserve"> 2019</w:t>
      </w:r>
    </w:p>
    <w:p w:rsidR="00000000" w:rsidDel="00000000" w:rsidP="00000000" w:rsidRDefault="00000000" w:rsidRPr="00000000" w14:paraId="00000012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Lugar y fecha:</w:t>
      </w:r>
      <w:r w:rsidDel="00000000" w:rsidR="00000000" w:rsidRPr="00000000">
        <w:rPr>
          <w:sz w:val="28"/>
          <w:szCs w:val="28"/>
          <w:rtl w:val="0"/>
        </w:rPr>
        <w:t xml:space="preserve"> 5 de abril de 2019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085"/>
        </w:tabs>
        <w:rPr/>
      </w:pPr>
      <w:r w:rsidDel="00000000" w:rsidR="00000000" w:rsidRPr="00000000">
        <w:rPr>
          <w:b w:val="1"/>
          <w:rtl w:val="0"/>
        </w:rPr>
        <w:t xml:space="preserve">1. FUNDAMENTACIÓN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La asignatura Pasantía I (Códigos: 6512-6393) pertenece al área de Formación del Profesorado de Inglés. En esta asignatura, adoptamos una perspectiva sociocultural del aprendizaje (Vygotsky, 1978) y tenemos en cuenta los procesos cognitivos y sociales involucrados en la formación del futuro docente de inglés.</w:t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Los contenidos de la asignatura ofrecen a los futuros docentes de inglés una primera aproximación a la realidad de su perfil profesional a través de la discusión de marcos teóricos específicos a la enseñanza del inglés como lengua extranjera.</w:t>
      </w:r>
    </w:p>
    <w:p w:rsidR="00000000" w:rsidDel="00000000" w:rsidP="00000000" w:rsidRDefault="00000000" w:rsidRPr="00000000" w14:paraId="0000001F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 La asignatura además propone la reflexión constante sobre la propia experiencia del docente en formación como aprendiente de una lengua extranjera y la reflexión sobre prácticas docentes a través de la observación de situaciones concretas de enseñanza/aprendizaje del inglés en diferentes niveles y contextos educativos tales como los Centros Educativos de Escuelas Primarias para jóvenes y adultos en los que la cátedra participa como parte del Proyecto de Práctica Socio-Comunitaria “Inglés en la escuela primaria para jóvenes y adultos: Ampliando Experiencias”</w:t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2. 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  <w:t xml:space="preserve">Que los alumnos: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(a) Tengan una primera aproximación a marcos teóricos básicos y relevantes al contexto de la enseñanza/aprendizaje de la lengua-cultura.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(b) Reflexionen sobre la  práctica docente a través de la observación de situaciones concretas en diferentes contextos de enseñanza.</w:t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3. CONTENIDOS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 1: El aula de Lengua extranjera: docentes y alumnos en acción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488.0" w:type="dxa"/>
        <w:jc w:val="left"/>
        <w:tblInd w:w="0.0" w:type="dxa"/>
        <w:tblLayout w:type="fixed"/>
        <w:tblLook w:val="0400"/>
      </w:tblPr>
      <w:tblGrid>
        <w:gridCol w:w="2365"/>
        <w:gridCol w:w="3429"/>
        <w:gridCol w:w="2694"/>
        <w:tblGridChange w:id="0">
          <w:tblGrid>
            <w:gridCol w:w="2365"/>
            <w:gridCol w:w="3429"/>
            <w:gridCol w:w="2694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d9c3" w:val="clear"/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Contenidos conceptuales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d9c3" w:val="clear"/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Contenidos procedimentales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d9c3" w:val="clear"/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Bibliografía y Calendarización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Una mirada hacia diferentes aulas: maneras de visualizar un aula de lengua extranjera.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diferentes roles del docente de lengua extranjera en el aula: E.g. transmisor, “monitor”, organizador, par, recurso, etc.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concepto de “andamiaje” en la enseñanza de una lengua extranjera.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importancia de la empatía en la relación docente-alumno.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Diferentes modos de trabajo en el aula: individual, grupal, clase completa: características, ventajas y desventajas.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Lectura, análisis y discusión guiada de bibliografía específica relacionada con los contenidos conceptuales especificados.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Observación crítica de aspectos relacionados con los contenidos conceptuales  en situaciones  áulicas reales -contextos de prácticas socio-comunitarias, escuelas e institutos de Inglés- y multimediales -dvds, cds- en base a una guía de observación.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Identificación e interpretación de relaciones entre nociones teóricas y realidad áulica.  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- Reflexión y concienciación acerca de su propia experiencia como alumnos y su visión  como futuros docentes.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Obligatoria: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Harmer, J. (2012). </w:t>
            </w:r>
            <w:r w:rsidDel="00000000" w:rsidR="00000000" w:rsidRPr="00000000">
              <w:rPr>
                <w:i w:val="1"/>
                <w:rtl w:val="0"/>
              </w:rPr>
              <w:t xml:space="preserve">Essential Teacher Knowledge: Core concepts in English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language teaching</w:t>
            </w:r>
            <w:r w:rsidDel="00000000" w:rsidR="00000000" w:rsidRPr="00000000">
              <w:rPr>
                <w:rtl w:val="0"/>
              </w:rPr>
              <w:t xml:space="preserve">. Essex: Pearson.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Capítulos: 65 a 67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referencia: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Scrivener, J. (2011). </w:t>
            </w:r>
            <w:r w:rsidDel="00000000" w:rsidR="00000000" w:rsidRPr="00000000">
              <w:rPr>
                <w:i w:val="1"/>
                <w:rtl w:val="0"/>
              </w:rPr>
              <w:t xml:space="preserve">Learning Teaching. </w:t>
            </w:r>
            <w:r w:rsidDel="00000000" w:rsidR="00000000" w:rsidRPr="00000000">
              <w:rPr>
                <w:rtl w:val="0"/>
              </w:rPr>
              <w:t xml:space="preserve"> Chapter 1: Classrooms at work.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(secciones específicas)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10 hs. 5 clases.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Trabajo práctico # 1</w:t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Unidad 2: Manejo del aula de lengua extranjera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88.0" w:type="dxa"/>
        <w:jc w:val="left"/>
        <w:tblInd w:w="0.0" w:type="dxa"/>
        <w:tblLayout w:type="fixed"/>
        <w:tblLook w:val="0400"/>
      </w:tblPr>
      <w:tblGrid>
        <w:gridCol w:w="2578"/>
        <w:gridCol w:w="3808"/>
        <w:gridCol w:w="2102"/>
        <w:tblGridChange w:id="0">
          <w:tblGrid>
            <w:gridCol w:w="2578"/>
            <w:gridCol w:w="3808"/>
            <w:gridCol w:w="2102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d9c3" w:val="clear"/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4D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Contenidos Conceptuales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d9c3" w:val="clear"/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Contenidos procedimentales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d9c3" w:val="clear"/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Bibliografía y calendarización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Definición del concepto “manejo áulico”.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uso estratégico del lenguaje del docente en el manejo áulico: implementación de actividades, provisión de instrucciones claras, monitoreo de los alumnos durante y a la finalización de la tarea, manejo de situaciones inesperadas, etc.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Estrategias para captar la atención de los alumnos, comenzar la clase, lograr un ambiente de trabajo positivo y finalizar la clase.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manejo de la “disciplina”: razones por las cuales pueden ocurrir situaciones de indisciplina en el aula y como prevenirlas. Estrategias para manejarlas efectivamente.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uso de la Lengua materna en el aula de LE: Ventajas y desventajas.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Lectura, análisis y discusión guiada de bibliografía específica relacionada con los contenidos conceptuales especificados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-Reflexión y concienciación acerca de su propia experiencia como alumnos y su visión como futuros docentes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Observación crítica de aspectos relacionados con los contenidos conceptuales  en situaciones  áulicas reales -contextos de prácticas socio-comunitarias, escuelas e institutos de Inglés- y multimediales -dvds, cds- en base a una guía de observación.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Identificación e interpretación de relaciones entre nociones teóricas y realidad áulica: Creación de material pedagógico para el Taller de Inglés en el marco de PSC.: Elaboración y revisión de consignas e instrucciones para la clase de LE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Obligatoria: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Harmer, J. (2012). </w:t>
            </w:r>
            <w:r w:rsidDel="00000000" w:rsidR="00000000" w:rsidRPr="00000000">
              <w:rPr>
                <w:i w:val="1"/>
                <w:rtl w:val="0"/>
              </w:rPr>
              <w:t xml:space="preserve">Essential Teacher Knowledge: Core concepts in English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language teaching</w:t>
            </w:r>
            <w:r w:rsidDel="00000000" w:rsidR="00000000" w:rsidRPr="00000000">
              <w:rPr>
                <w:rtl w:val="0"/>
              </w:rPr>
              <w:t xml:space="preserve">. Essex: Pearson.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Capítulos: 68 a 71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Richards, J. (2015). </w:t>
            </w:r>
            <w:r w:rsidDel="00000000" w:rsidR="00000000" w:rsidRPr="00000000">
              <w:rPr>
                <w:i w:val="1"/>
                <w:rtl w:val="0"/>
              </w:rPr>
              <w:t xml:space="preserve">Key Issues in Language Teaching</w:t>
            </w:r>
            <w:r w:rsidDel="00000000" w:rsidR="00000000" w:rsidRPr="00000000">
              <w:rPr>
                <w:rtl w:val="0"/>
              </w:rPr>
              <w:t xml:space="preserve">. United Kingdom: Cambridge University Press.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Cambridge Resources for presenters:  TKT Seminar. Primary English Language Teaching. A training Programme for Teachers and Teacher Trainers. Clip 2- Bell/ Longman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The practice of English language Teaching: Lesson stories and teachers talking. (CD) (2007) Pearson Education Limited. Clips 2, 4 and 7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12 hs. 6 clases.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Trabajos Prácticos # 2 y # 3</w:t>
            </w:r>
          </w:p>
        </w:tc>
      </w:tr>
    </w:tbl>
    <w:p w:rsidR="00000000" w:rsidDel="00000000" w:rsidP="00000000" w:rsidRDefault="00000000" w:rsidRPr="00000000" w14:paraId="0000006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Unidad 3: Prácticas pedagógicas en la clase de lengua extranjera: la corrección</w:t>
      </w:r>
      <w:r w:rsidDel="00000000" w:rsidR="00000000" w:rsidRPr="00000000">
        <w:rPr>
          <w:rtl w:val="0"/>
        </w:rPr>
      </w:r>
    </w:p>
    <w:tbl>
      <w:tblPr>
        <w:tblStyle w:val="Table3"/>
        <w:tblW w:w="8488.0" w:type="dxa"/>
        <w:jc w:val="left"/>
        <w:tblInd w:w="0.0" w:type="dxa"/>
        <w:tblLayout w:type="fixed"/>
        <w:tblLook w:val="0400"/>
      </w:tblPr>
      <w:tblGrid>
        <w:gridCol w:w="2500"/>
        <w:gridCol w:w="3598"/>
        <w:gridCol w:w="2390"/>
        <w:tblGridChange w:id="0">
          <w:tblGrid>
            <w:gridCol w:w="2500"/>
            <w:gridCol w:w="3598"/>
            <w:gridCol w:w="239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d9c3" w:val="clear"/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69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Contenidos conceptuales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d9c3" w:val="clear"/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6A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Contenidos procedimentales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dd9c3" w:val="clear"/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6B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Bibliografía y calendarización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manejo de la corrección. Estrategias para la provisión de “retroalimentación” útil y positiva.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La corrección en el trabajo escrito y en el trabajo oral: técnicas.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Cuando corregir: durante la actividad, al finalizar la actividad. Ventajas y desventajas.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Cuanto y que corregir en relación a los objetivos de la tarea.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El uso de códigos de corrección.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Lectura, análisis y discusión guiada de bibliografía específica relacionada con los contenidos conceptuales especificados. 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Observación crítica de aspectos relacionados con los contenidos conceptuales  en situaciones  áulicas reales y multimediales (dvds, cds) y en libros de texto.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Identificación e interpretación de relaciones entre nociones teóricas y realidad áulica.  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- Reflexión acerca de su propia experiencia como alumnos y su visión  como futuros docentes.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34.0" w:type="dxa"/>
              <w:right w:w="134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Harmer, J. (2012). </w:t>
            </w:r>
            <w:r w:rsidDel="00000000" w:rsidR="00000000" w:rsidRPr="00000000">
              <w:rPr>
                <w:i w:val="1"/>
                <w:rtl w:val="0"/>
              </w:rPr>
              <w:t xml:space="preserve">Essential Teacher Knowledge: Core concepts in English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language teaching</w:t>
            </w:r>
            <w:r w:rsidDel="00000000" w:rsidR="00000000" w:rsidRPr="00000000">
              <w:rPr>
                <w:rtl w:val="0"/>
              </w:rPr>
              <w:t xml:space="preserve">. Essex: Pearson.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Capitulos: 72 a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77.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 hs. 4 clases.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Trabajo práctico # 4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b w:val="1"/>
          <w:rtl w:val="0"/>
        </w:rPr>
        <w:t xml:space="preserve">4. METODOLOGÍA DE TRABAJO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/>
      </w:pPr>
      <w:r w:rsidDel="00000000" w:rsidR="00000000" w:rsidRPr="00000000">
        <w:rPr>
          <w:rtl w:val="0"/>
        </w:rPr>
        <w:t xml:space="preserve">El 100% de las clases de la asignatura son de naturaleza teórico-práctica. Durante las mismas se llevan a cabo: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Discusiones de marcos teóricos y consideraciones prácticas posteriores a la lectura del material asignado.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Actividades de reflexión basadas en lecturas,  videos, análisis de planificaciones escolares y planes de clases para diferentes niveles.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Actividades de reflexión y discusión acerca de experiencias personales como alumnos y percepciones acerca de su rol como futuros docentes. 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Descripciones orales individuales y grupales  de las  observaciones áulicas realizadas en diferentes instituciones. </w:t>
      </w:r>
    </w:p>
    <w:p w:rsidR="00000000" w:rsidDel="00000000" w:rsidP="00000000" w:rsidRDefault="00000000" w:rsidRPr="00000000" w14:paraId="0000008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IMPORTANTE: </w:t>
      </w:r>
      <w:r w:rsidDel="00000000" w:rsidR="00000000" w:rsidRPr="00000000">
        <w:rPr>
          <w:rtl w:val="0"/>
        </w:rPr>
        <w:t xml:space="preserve">Además de la asistencia a las clases teórico prácticas, el alumno deberá realizar un mínimo de 4 (cuatro) observaciones de clases en  diferentes niveles en instituciones de gestión pública o privada de nuestra ciudad. </w:t>
      </w:r>
    </w:p>
    <w:p w:rsidR="00000000" w:rsidDel="00000000" w:rsidP="00000000" w:rsidRDefault="00000000" w:rsidRPr="00000000" w14:paraId="00000084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Incorporación de las Nuevas tecnologías en el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/>
      </w:pPr>
      <w:r w:rsidDel="00000000" w:rsidR="00000000" w:rsidRPr="00000000">
        <w:rPr>
          <w:rtl w:val="0"/>
        </w:rPr>
        <w:t xml:space="preserve">Materiales multimediales para la realización de prácticas vicarias de observación de la realidad áulica. 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b w:val="1"/>
          <w:rtl w:val="0"/>
        </w:rPr>
        <w:t xml:space="preserve">5. EVALUACIÓN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Por la naturaleza del curso no se evalúa a los alumnos con exámenes parciales.</w:t>
      </w:r>
    </w:p>
    <w:p w:rsidR="00000000" w:rsidDel="00000000" w:rsidP="00000000" w:rsidRDefault="00000000" w:rsidRPr="00000000" w14:paraId="0000008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Se realiza un seguimiento de los avances en la lectura y comprensión de los contenidos a través de discusiones áulicas y de trabajos prácticos escritos presenciales y no-presenciales.</w:t>
      </w:r>
    </w:p>
    <w:p w:rsidR="00000000" w:rsidDel="00000000" w:rsidP="00000000" w:rsidRDefault="00000000" w:rsidRPr="00000000" w14:paraId="00000089">
      <w:pPr>
        <w:spacing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Naturaleza de los trabajos prácticos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Los trabajos prácticos están basados en la observación de clases  o segmentos de clases reales o materiales multimediales. El género de los mismos será el de informe y/o descripción escrita  breve guiada por los conceptos teóricos trabajados en clase. </w:t>
      </w:r>
    </w:p>
    <w:p w:rsidR="00000000" w:rsidDel="00000000" w:rsidP="00000000" w:rsidRDefault="00000000" w:rsidRPr="00000000" w14:paraId="0000008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Criterios que se tendrán en cuenta para la evaluación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Uso eficiente de la lengua extranjera. (Descriptores para el Nivel B2 ALTE/Marco Común Europeo de Referencia. CEFR).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Incorporación del metalenguaje disciplinar.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Relevancia en la selección  y correcto enfoque de los contenidos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Fundamentación de propuestas prácticas en conocimientos teóricos formalizados.</w:t>
      </w:r>
    </w:p>
    <w:p w:rsidR="00000000" w:rsidDel="00000000" w:rsidP="00000000" w:rsidRDefault="00000000" w:rsidRPr="00000000" w14:paraId="00000091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5.1. REQUISITOS PARA LA OBTENCIÓN DE LAS DIFERENTES CONDICIONES DE ESTUDIANTE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(A) Alumnos Regulares y Vocacionales.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Los </w:t>
      </w:r>
      <w:r w:rsidDel="00000000" w:rsidR="00000000" w:rsidRPr="00000000">
        <w:rPr>
          <w:b w:val="1"/>
          <w:rtl w:val="0"/>
        </w:rPr>
        <w:t xml:space="preserve">requisitos para regularizar </w:t>
      </w:r>
      <w:r w:rsidDel="00000000" w:rsidR="00000000" w:rsidRPr="00000000">
        <w:rPr>
          <w:rtl w:val="0"/>
        </w:rPr>
        <w:t xml:space="preserve">la asignatura son: </w:t>
      </w:r>
    </w:p>
    <w:p w:rsidR="00000000" w:rsidDel="00000000" w:rsidP="00000000" w:rsidRDefault="00000000" w:rsidRPr="00000000" w14:paraId="0000009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spacing w:after="151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80% de asistencia a las clases teórico-prácticas. </w:t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spacing w:after="151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La aprobación de 4 (cuatro)  trabajos prácticos (presenciales o domiciliarios). Para cada uno de los trabajos prácticos se ofrecerá una instancia de recuperación.</w:t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spacing w:after="151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Observación de un mínimo de 4 clases en diferentes niveles certificada por el docente a cargo  del curso o directivo del establecimiento en el que se realiza la observación. </w:t>
      </w:r>
    </w:p>
    <w:p w:rsidR="00000000" w:rsidDel="00000000" w:rsidP="00000000" w:rsidRDefault="00000000" w:rsidRPr="00000000" w14:paraId="0000009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Calificación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La calificación final del curso se obtendrá del promedio de las calificaciones obtenidas en los trabajos prácticos. </w:t>
      </w:r>
    </w:p>
    <w:p w:rsidR="00000000" w:rsidDel="00000000" w:rsidP="00000000" w:rsidRDefault="00000000" w:rsidRPr="00000000" w14:paraId="0000009D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Importante:</w:t>
      </w:r>
      <w:r w:rsidDel="00000000" w:rsidR="00000000" w:rsidRPr="00000000">
        <w:rPr>
          <w:rtl w:val="0"/>
        </w:rPr>
        <w:t xml:space="preserve"> Se valorará en iguales porcentajes el contenido del trabajo y el uso de la lengua extranjera para la calificación del mismo.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b w:val="1"/>
          <w:u w:val="single"/>
          <w:rtl w:val="0"/>
        </w:rPr>
        <w:t xml:space="preserve">OBSERVACIÓN: </w:t>
      </w:r>
      <w:r w:rsidDel="00000000" w:rsidR="00000000" w:rsidRPr="00000000">
        <w:rPr>
          <w:b w:val="1"/>
          <w:rtl w:val="0"/>
        </w:rPr>
        <w:t xml:space="preserve">En el caso de que un alumno deba rendir la asignatura en calidad de “LIBRE”, se diseñará una consigna específica basada  en observación de clases e informe sobre temáticas específicas relacionadas con la observación y los contenidos del curso.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b w:val="1"/>
          <w:rtl w:val="0"/>
        </w:rPr>
        <w:t xml:space="preserve">6. BIBLIOGRAFÍA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b w:val="1"/>
          <w:rtl w:val="0"/>
        </w:rPr>
        <w:t xml:space="preserve">6.1. BIBLIOGRAFÍA OBLIGATORIA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Harmer, J. (2012). </w:t>
      </w:r>
      <w:r w:rsidDel="00000000" w:rsidR="00000000" w:rsidRPr="00000000">
        <w:rPr>
          <w:i w:val="1"/>
          <w:rtl w:val="0"/>
        </w:rPr>
        <w:t xml:space="preserve">Essential Teacher Knowledge: Core concepts in English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ind w:firstLine="720"/>
        <w:rPr/>
      </w:pPr>
      <w:r w:rsidDel="00000000" w:rsidR="00000000" w:rsidRPr="00000000">
        <w:rPr>
          <w:i w:val="1"/>
          <w:rtl w:val="0"/>
        </w:rPr>
        <w:t xml:space="preserve">language teaching</w:t>
      </w:r>
      <w:r w:rsidDel="00000000" w:rsidR="00000000" w:rsidRPr="00000000">
        <w:rPr>
          <w:rtl w:val="0"/>
        </w:rPr>
        <w:t xml:space="preserve">. Essex: Pearson.</w:t>
      </w:r>
    </w:p>
    <w:p w:rsidR="00000000" w:rsidDel="00000000" w:rsidP="00000000" w:rsidRDefault="00000000" w:rsidRPr="00000000" w14:paraId="000000A4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1"/>
        <w:rPr/>
      </w:pPr>
      <w:r w:rsidDel="00000000" w:rsidR="00000000" w:rsidRPr="00000000">
        <w:rPr>
          <w:rtl w:val="0"/>
        </w:rPr>
        <w:t xml:space="preserve">Richards, J. (2015). </w:t>
      </w:r>
      <w:r w:rsidDel="00000000" w:rsidR="00000000" w:rsidRPr="00000000">
        <w:rPr>
          <w:i w:val="1"/>
          <w:rtl w:val="0"/>
        </w:rPr>
        <w:t xml:space="preserve">Key Issues in Language Teaching</w:t>
      </w:r>
      <w:r w:rsidDel="00000000" w:rsidR="00000000" w:rsidRPr="00000000">
        <w:rPr>
          <w:rtl w:val="0"/>
        </w:rPr>
        <w:t xml:space="preserve">. United Kingdom: Cambridge University Press. 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b w:val="1"/>
          <w:rtl w:val="0"/>
        </w:rPr>
        <w:t xml:space="preserve">6.2. BIBLIOGRAFÍA DE CONSULTA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Davies, P., &amp; Pearse, E. (2000). </w:t>
      </w:r>
      <w:r w:rsidDel="00000000" w:rsidR="00000000" w:rsidRPr="00000000">
        <w:rPr>
          <w:i w:val="1"/>
          <w:rtl w:val="0"/>
        </w:rPr>
        <w:t xml:space="preserve">Success in English teaching</w:t>
      </w:r>
      <w:r w:rsidDel="00000000" w:rsidR="00000000" w:rsidRPr="00000000">
        <w:rPr>
          <w:rtl w:val="0"/>
        </w:rPr>
        <w:t xml:space="preserve">. Oxford: Oxford </w:t>
      </w:r>
    </w:p>
    <w:p w:rsidR="00000000" w:rsidDel="00000000" w:rsidP="00000000" w:rsidRDefault="00000000" w:rsidRPr="00000000" w14:paraId="000000A8">
      <w:pPr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University Press. </w:t>
      </w:r>
    </w:p>
    <w:p w:rsidR="00000000" w:rsidDel="00000000" w:rsidP="00000000" w:rsidRDefault="00000000" w:rsidRPr="00000000" w14:paraId="000000A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Harmer, J. (2007). </w:t>
      </w:r>
      <w:r w:rsidDel="00000000" w:rsidR="00000000" w:rsidRPr="00000000">
        <w:rPr>
          <w:i w:val="1"/>
          <w:rtl w:val="0"/>
        </w:rPr>
        <w:t xml:space="preserve">The practice of English language teaching</w:t>
      </w:r>
      <w:r w:rsidDel="00000000" w:rsidR="00000000" w:rsidRPr="00000000">
        <w:rPr>
          <w:rtl w:val="0"/>
        </w:rPr>
        <w:t xml:space="preserve"> (4ta ed.). Essex: </w:t>
      </w:r>
    </w:p>
    <w:p w:rsidR="00000000" w:rsidDel="00000000" w:rsidP="00000000" w:rsidRDefault="00000000" w:rsidRPr="00000000" w14:paraId="000000AB">
      <w:pPr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Pearson-Longman.</w:t>
      </w:r>
    </w:p>
    <w:p w:rsidR="00000000" w:rsidDel="00000000" w:rsidP="00000000" w:rsidRDefault="00000000" w:rsidRPr="00000000" w14:paraId="000000A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Harmer, J. (2007). </w:t>
      </w:r>
      <w:r w:rsidDel="00000000" w:rsidR="00000000" w:rsidRPr="00000000">
        <w:rPr>
          <w:i w:val="1"/>
          <w:rtl w:val="0"/>
        </w:rPr>
        <w:t xml:space="preserve">How to teach English</w:t>
      </w:r>
      <w:r w:rsidDel="00000000" w:rsidR="00000000" w:rsidRPr="00000000">
        <w:rPr>
          <w:rtl w:val="0"/>
        </w:rPr>
        <w:t xml:space="preserve">. Essex: Pearson-Longman.</w:t>
      </w:r>
    </w:p>
    <w:p w:rsidR="00000000" w:rsidDel="00000000" w:rsidP="00000000" w:rsidRDefault="00000000" w:rsidRPr="00000000" w14:paraId="000000A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Hedge, T. (2000). </w:t>
      </w:r>
      <w:r w:rsidDel="00000000" w:rsidR="00000000" w:rsidRPr="00000000">
        <w:rPr>
          <w:i w:val="1"/>
          <w:rtl w:val="0"/>
        </w:rPr>
        <w:t xml:space="preserve">Teaching and learning in the language classroom.</w:t>
      </w:r>
      <w:r w:rsidDel="00000000" w:rsidR="00000000" w:rsidRPr="00000000">
        <w:rPr>
          <w:rtl w:val="0"/>
        </w:rPr>
        <w:t xml:space="preserve"> Oxford: Oxford </w:t>
      </w:r>
    </w:p>
    <w:p w:rsidR="00000000" w:rsidDel="00000000" w:rsidP="00000000" w:rsidRDefault="00000000" w:rsidRPr="00000000" w14:paraId="000000B0">
      <w:pPr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University Press.</w:t>
      </w:r>
    </w:p>
    <w:p w:rsidR="00000000" w:rsidDel="00000000" w:rsidP="00000000" w:rsidRDefault="00000000" w:rsidRPr="00000000" w14:paraId="000000B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Nunan, D., &amp; Lamb, C. (1996). </w:t>
      </w:r>
      <w:r w:rsidDel="00000000" w:rsidR="00000000" w:rsidRPr="00000000">
        <w:rPr>
          <w:i w:val="1"/>
          <w:rtl w:val="0"/>
        </w:rPr>
        <w:t xml:space="preserve">The self-directed teacher: Managing the learning                process</w:t>
      </w:r>
      <w:r w:rsidDel="00000000" w:rsidR="00000000" w:rsidRPr="00000000">
        <w:rPr>
          <w:rtl w:val="0"/>
        </w:rPr>
        <w:t xml:space="preserve">. Cambridge: Cambridge University Press.</w:t>
      </w:r>
    </w:p>
    <w:p w:rsidR="00000000" w:rsidDel="00000000" w:rsidP="00000000" w:rsidRDefault="00000000" w:rsidRPr="00000000" w14:paraId="000000B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Scrivener, J. (2011). </w:t>
      </w:r>
      <w:r w:rsidDel="00000000" w:rsidR="00000000" w:rsidRPr="00000000">
        <w:rPr>
          <w:i w:val="1"/>
          <w:rtl w:val="0"/>
        </w:rPr>
        <w:t xml:space="preserve">Learning teaching: The essential guide to English language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ab/>
        <w:t xml:space="preserve">teaching. </w:t>
      </w:r>
      <w:r w:rsidDel="00000000" w:rsidR="00000000" w:rsidRPr="00000000">
        <w:rPr>
          <w:rtl w:val="0"/>
        </w:rPr>
        <w:t xml:space="preserve">(3ra ed.). London: Macmillan Publishers Limited.</w:t>
      </w:r>
    </w:p>
    <w:p w:rsidR="00000000" w:rsidDel="00000000" w:rsidP="00000000" w:rsidRDefault="00000000" w:rsidRPr="00000000" w14:paraId="000000B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bookmarkStart w:colFirst="0" w:colLast="0" w:name="_2et92p0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b w:val="1"/>
          <w:rtl w:val="0"/>
        </w:rPr>
        <w:t xml:space="preserve">7. CRONOGRAMA (Ver grilla de Contenidos: “Bibliografía y Calendarización”)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C">
      <w:pPr>
        <w:tabs>
          <w:tab w:val="right" w:pos="8504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right" w:pos="8504"/>
        </w:tabs>
        <w:rPr/>
      </w:pPr>
      <w:r w:rsidDel="00000000" w:rsidR="00000000" w:rsidRPr="00000000">
        <w:rPr>
          <w:b w:val="1"/>
          <w:rtl w:val="0"/>
        </w:rPr>
        <w:t xml:space="preserve">8. HORARIOS DE CLASES Y DE CONSULTAS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Clases: </w:t>
      </w:r>
      <w:r w:rsidDel="00000000" w:rsidR="00000000" w:rsidRPr="00000000">
        <w:rPr>
          <w:rtl w:val="0"/>
        </w:rPr>
        <w:t xml:space="preserve">Lunes de 12 a 14 hs. Aula 11, Pabellón B</w:t>
      </w:r>
    </w:p>
    <w:p w:rsidR="00000000" w:rsidDel="00000000" w:rsidP="00000000" w:rsidRDefault="00000000" w:rsidRPr="00000000" w14:paraId="000000BF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Horarios de Consulta: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Prof. Cadario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/>
      </w:pPr>
      <w:r w:rsidDel="00000000" w:rsidR="00000000" w:rsidRPr="00000000">
        <w:rPr>
          <w:rtl w:val="0"/>
        </w:rPr>
        <w:t xml:space="preserve">Miércoles de 13:00 a 15:00 hs. Oficina 19, Pabellón B</w:t>
      </w:r>
    </w:p>
    <w:p w:rsidR="00000000" w:rsidDel="00000000" w:rsidP="00000000" w:rsidRDefault="00000000" w:rsidRPr="00000000" w14:paraId="000000C2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Prof. Sacchi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Lunes de 15:00 a 16:00 hs., martes de 13:00 a 14:00 hs. y viernes de 14:00 a 15:00 hs.</w:t>
        <w:br w:type="textWrapping"/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Prof. Fabiana Sacchi </w:t>
        <w:tab/>
        <w:tab/>
        <w:tab/>
        <w:tab/>
        <w:tab/>
        <w:tab/>
        <w:t xml:space="preserve">Prof. Elisa Cadario</w:t>
        <w:tab/>
      </w:r>
    </w:p>
    <w:sectPr>
      <w:headerReference r:id="rId7" w:type="default"/>
      <w:footerReference r:id="rId8" w:type="default"/>
      <w:pgSz w:h="16838" w:w="11906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tabs>
        <w:tab w:val="center" w:pos="4419"/>
        <w:tab w:val="right" w:pos="8838"/>
      </w:tabs>
      <w:spacing w:after="0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6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Esta asignatura se encuentra comprendida en el proyecto sociocomunitario "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Inglés en la escuela primaria para jóvenes y adultos: Ampliando experiencias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" (Res. C.S. 527/18).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spacing w:after="0" w:line="240" w:lineRule="auto"/>
      <w:jc w:val="center"/>
      <w:rPr>
        <w:rFonts w:ascii="Libre Baskerville" w:cs="Libre Baskerville" w:eastAsia="Libre Baskerville" w:hAnsi="Libre Baskerville"/>
        <w:i w:val="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5605145</wp:posOffset>
          </wp:positionH>
          <wp:positionV relativeFrom="paragraph">
            <wp:posOffset>103504</wp:posOffset>
          </wp:positionV>
          <wp:extent cx="346710" cy="508635"/>
          <wp:effectExtent b="0" l="0" r="0" t="0"/>
          <wp:wrapNone/>
          <wp:docPr descr="logoUNRCcolor" id="2" name="image1.jpg"/>
          <a:graphic>
            <a:graphicData uri="http://schemas.openxmlformats.org/drawingml/2006/picture">
              <pic:pic>
                <pic:nvPicPr>
                  <pic:cNvPr descr="logoUNRCcolor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710" cy="5086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-432434</wp:posOffset>
          </wp:positionH>
          <wp:positionV relativeFrom="paragraph">
            <wp:posOffset>198120</wp:posOffset>
          </wp:positionV>
          <wp:extent cx="590400" cy="43920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400" cy="439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9">
    <w:pPr>
      <w:pBdr>
        <w:bottom w:color="000000" w:space="1" w:sz="4" w:val="single"/>
      </w:pBdr>
      <w:spacing w:after="0" w:line="240" w:lineRule="auto"/>
      <w:jc w:val="center"/>
      <w:rPr/>
    </w:pPr>
    <w:r w:rsidDel="00000000" w:rsidR="00000000" w:rsidRPr="00000000">
      <w:rPr>
        <w:rFonts w:ascii="Libre Baskerville" w:cs="Libre Baskerville" w:eastAsia="Libre Baskerville" w:hAnsi="Libre Baskerville"/>
        <w:i w:val="1"/>
        <w:sz w:val="24"/>
        <w:szCs w:val="24"/>
        <w:rtl w:val="0"/>
      </w:rPr>
      <w:t xml:space="preserve">Universidad Nacional de Río Cuarto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pBdr>
        <w:bottom w:color="000000" w:space="1" w:sz="4" w:val="single"/>
      </w:pBdr>
      <w:spacing w:after="0" w:line="240" w:lineRule="auto"/>
      <w:jc w:val="center"/>
      <w:rPr/>
    </w:pPr>
    <w:r w:rsidDel="00000000" w:rsidR="00000000" w:rsidRPr="00000000">
      <w:rPr>
        <w:rFonts w:ascii="Libre Baskerville" w:cs="Libre Baskerville" w:eastAsia="Libre Baskerville" w:hAnsi="Libre Baskerville"/>
        <w:i w:val="1"/>
        <w:sz w:val="24"/>
        <w:szCs w:val="24"/>
        <w:rtl w:val="0"/>
      </w:rPr>
      <w:t xml:space="preserve">Facultad de Ciencias Humanas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